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00"/>
        <w:jc w:val="center"/>
      </w:pPr>
      <w:r>
        <w:rPr>
          <w:rFonts w:ascii="Garamond" w:cs="Garamond" w:eastAsia="Garamond" w:hAnsi="Garamond"/>
          <w:b/>
          <w:bCs/>
          <w:color w:val="B8860B"/>
          <w:spacing w:val="80"/>
          <w:sz w:val="22"/>
          <w:szCs w:val="22"/>
        </w:rPr>
        <w:t xml:space="preserve">COLLECTIF GMPL</w:t>
      </w:r>
    </w:p>
    <w:p>
      <w:pPr>
        <w:spacing w:after="40" w:before="0"/>
        <w:jc w:val="center"/>
      </w:pPr>
      <w:r>
        <w:rPr>
          <w:rFonts w:ascii="Garamond" w:cs="Garamond" w:eastAsia="Garamond" w:hAnsi="Garamond"/>
          <w:i/>
          <w:iCs/>
          <w:color w:val="8A8A8A"/>
          <w:sz w:val="22"/>
          <w:szCs w:val="22"/>
        </w:rPr>
        <w:t xml:space="preserve">Document de travail — Groupe Oxford</w:t>
      </w:r>
    </w:p>
    <w:p>
      <w:pPr>
        <w:spacing w:after="200" w:before="480"/>
        <w:jc w:val="center"/>
      </w:pPr>
      <w:r>
        <w:rPr>
          <w:rFonts w:ascii="Garamond" w:cs="Garamond" w:eastAsia="Garamond" w:hAnsi="Garamond"/>
          <w:b/>
          <w:bCs/>
          <w:color w:val="1B2A4A"/>
          <w:sz w:val="48"/>
          <w:szCs w:val="48"/>
        </w:rPr>
        <w:t xml:space="preserve">Inventaire des manuscrits du Fonds Luzzatto</w:t>
      </w:r>
    </w:p>
    <w:p>
      <w:pPr>
        <w:spacing w:after="600" w:before="0"/>
        <w:jc w:val="center"/>
      </w:pPr>
      <w:r>
        <w:rPr>
          <w:rFonts w:ascii="Garamond" w:cs="Garamond" w:eastAsia="Garamond" w:hAnsi="Garamond"/>
          <w:i/>
          <w:iCs/>
          <w:color w:val="B8860B"/>
          <w:sz w:val="30"/>
          <w:szCs w:val="30"/>
        </w:rPr>
        <w:t xml:space="preserve">déposés à la Bodleian Library d’Oxford en 1869-1870</w:t>
      </w:r>
    </w:p>
    <w:p>
      <w:pPr>
        <w:spacing w:after="200" w:before="200"/>
        <w:jc w:val="center"/>
      </w:pPr>
      <w:r>
        <w:rPr>
          <w:color w:val="B8860B"/>
          <w:sz w:val="24"/>
          <w:szCs w:val="24"/>
        </w:rPr>
        <w:t xml:space="preserve">✦ ✦ ✦</w:t>
      </w:r>
    </w:p>
    <w:p>
      <w:pPr>
        <w:spacing w:after="100" w:before="200"/>
        <w:jc w:val="center"/>
      </w:pPr>
      <w:r>
        <w:rPr>
          <w:rFonts w:ascii="Garamond" w:cs="Garamond" w:eastAsia="Garamond" w:hAnsi="Garamond"/>
          <w:i/>
          <w:iCs/>
          <w:color w:val="5A5A5A"/>
          <w:sz w:val="22"/>
          <w:szCs w:val="22"/>
        </w:rPr>
        <w:t xml:space="preserve">Première reconstitution à partir des sources publiques</w:t>
      </w:r>
    </w:p>
    <w:p>
      <w:pPr>
        <w:spacing w:after="100" w:before="0"/>
        <w:jc w:val="center"/>
      </w:pPr>
      <w:r>
        <w:rPr>
          <w:rFonts w:ascii="Garamond" w:cs="Garamond" w:eastAsia="Garamond" w:hAnsi="Garamond"/>
          <w:color w:val="8A8A8A"/>
          <w:sz w:val="20"/>
          <w:szCs w:val="20"/>
        </w:rPr>
        <w:t xml:space="preserve">Mai 2026 — version 1</w:t>
      </w:r>
    </w:p>
    <w:p>
      <w:r>
        <w:br w:type="page"/>
      </w:r>
    </w:p>
    <w:p>
      <w:pPr>
        <w:pStyle w:val="Heading1"/>
        <w:pBdr>
          <w:bottom w:val="single" w:color="B8860B" w:sz="12" w:space="6"/>
        </w:pBdr>
        <w:spacing w:after="200" w:before="360"/>
      </w:pPr>
      <w:r>
        <w:rPr>
          <w:rFonts w:ascii="Garamond" w:cs="Garamond" w:eastAsia="Garamond" w:hAnsi="Garamond"/>
          <w:b/>
          <w:bCs/>
          <w:color w:val="1B2A4A"/>
          <w:sz w:val="36"/>
          <w:szCs w:val="36"/>
        </w:rPr>
        <w:t xml:space="preserve">Avertissement préalable</w:t>
      </w:r>
    </w:p>
    <w:p>
      <w:pPr>
        <w:spacing w:after="120" w:before="80" w:line="320"/>
      </w:pPr>
      <w:r>
        <w:rPr>
          <w:rFonts w:ascii="Garamond" w:cs="Garamond" w:eastAsia="Garamond" w:hAnsi="Garamond"/>
          <w:b w:val="false"/>
          <w:bCs w:val="false"/>
          <w:i w:val="false"/>
          <w:iCs w:val="false"/>
          <w:color w:val="2B2B2B"/>
          <w:sz w:val="22"/>
          <w:szCs w:val="22"/>
        </w:rPr>
        <w:t xml:space="preserve">Ce document est </w:t>
      </w:r>
      <w:r>
        <w:rPr>
          <w:rFonts w:ascii="Garamond" w:cs="Garamond" w:eastAsia="Garamond" w:hAnsi="Garamond"/>
          <w:b/>
          <w:bCs/>
          <w:i w:val="false"/>
          <w:iCs w:val="false"/>
          <w:color w:val="2B2B2B"/>
          <w:sz w:val="22"/>
          <w:szCs w:val="22"/>
        </w:rPr>
        <w:t xml:space="preserve">une première reconstitution</w:t>
      </w:r>
      <w:r>
        <w:rPr>
          <w:rFonts w:ascii="Garamond" w:cs="Garamond" w:eastAsia="Garamond" w:hAnsi="Garamond"/>
          <w:b w:val="false"/>
          <w:bCs w:val="false"/>
          <w:i w:val="false"/>
          <w:iCs w:val="false"/>
          <w:color w:val="2B2B2B"/>
          <w:sz w:val="22"/>
          <w:szCs w:val="22"/>
        </w:rPr>
        <w:t xml:space="preserve">, établie à partir des sources publiques librement accessibles : le </w:t>
      </w:r>
      <w:r>
        <w:rPr>
          <w:rFonts w:ascii="Garamond" w:cs="Garamond" w:eastAsia="Garamond" w:hAnsi="Garamond"/>
          <w:b w:val="false"/>
          <w:bCs w:val="false"/>
          <w:i/>
          <w:iCs/>
          <w:color w:val="2B2B2B"/>
          <w:sz w:val="22"/>
          <w:szCs w:val="22"/>
        </w:rPr>
        <w:t xml:space="preserve">Catalogue de Neubauer (1886)</w:t>
      </w:r>
      <w:r>
        <w:rPr>
          <w:rFonts w:ascii="Garamond" w:cs="Garamond" w:eastAsia="Garamond" w:hAnsi="Garamond"/>
          <w:b w:val="false"/>
          <w:bCs w:val="false"/>
          <w:i w:val="false"/>
          <w:iCs w:val="false"/>
          <w:color w:val="2B2B2B"/>
          <w:sz w:val="22"/>
          <w:szCs w:val="22"/>
        </w:rPr>
        <w:t xml:space="preserve"> et son supplément (Beit-Arié &amp; May, 1994), la base </w:t>
      </w:r>
      <w:r>
        <w:rPr>
          <w:rFonts w:ascii="Garamond" w:cs="Garamond" w:eastAsia="Garamond" w:hAnsi="Garamond"/>
          <w:b w:val="false"/>
          <w:bCs w:val="false"/>
          <w:i/>
          <w:iCs/>
          <w:color w:val="2B2B2B"/>
          <w:sz w:val="22"/>
          <w:szCs w:val="22"/>
        </w:rPr>
        <w:t xml:space="preserve">Digital Bodleian</w:t>
      </w:r>
      <w:r>
        <w:rPr>
          <w:rFonts w:ascii="Garamond" w:cs="Garamond" w:eastAsia="Garamond" w:hAnsi="Garamond"/>
          <w:b w:val="false"/>
          <w:bCs w:val="false"/>
          <w:i w:val="false"/>
          <w:iCs w:val="false"/>
          <w:color w:val="2B2B2B"/>
          <w:sz w:val="22"/>
          <w:szCs w:val="22"/>
        </w:rPr>
        <w:t xml:space="preserve">, le catalogue en ligne dédié </w:t>
      </w:r>
      <w:r>
        <w:rPr>
          <w:rFonts w:ascii="Garamond" w:cs="Garamond" w:eastAsia="Garamond" w:hAnsi="Garamond"/>
          <w:b w:val="false"/>
          <w:bCs w:val="false"/>
          <w:i/>
          <w:iCs/>
          <w:color w:val="2B2B2B"/>
          <w:sz w:val="22"/>
          <w:szCs w:val="22"/>
        </w:rPr>
        <w:t xml:space="preserve">hebrew.bodleian.ox.ac.uk</w:t>
      </w:r>
      <w:r>
        <w:rPr>
          <w:rFonts w:ascii="Garamond" w:cs="Garamond" w:eastAsia="Garamond" w:hAnsi="Garamond"/>
          <w:b w:val="false"/>
          <w:bCs w:val="false"/>
          <w:i w:val="false"/>
          <w:iCs w:val="false"/>
          <w:color w:val="2B2B2B"/>
          <w:sz w:val="22"/>
          <w:szCs w:val="22"/>
        </w:rPr>
        <w:t xml:space="preserve">, et plusieurs travaux savants récents qui ont étudié spécifiquement des manuscrits du dépôt Luzzatto.</w:t>
      </w:r>
    </w:p>
    <w:p>
      <w:pPr>
        <w:spacing w:after="120" w:before="80" w:line="320"/>
      </w:pPr>
      <w:r>
        <w:rPr>
          <w:rFonts w:ascii="Garamond" w:cs="Garamond" w:eastAsia="Garamond" w:hAnsi="Garamond"/>
          <w:b w:val="false"/>
          <w:bCs w:val="false"/>
          <w:i w:val="false"/>
          <w:iCs w:val="false"/>
          <w:color w:val="2B2B2B"/>
          <w:sz w:val="22"/>
          <w:szCs w:val="22"/>
        </w:rPr>
        <w:t xml:space="preserve">Il ne s’agit donc </w:t>
      </w:r>
      <w:r>
        <w:rPr>
          <w:rFonts w:ascii="Garamond" w:cs="Garamond" w:eastAsia="Garamond" w:hAnsi="Garamond"/>
          <w:b/>
          <w:bCs/>
          <w:i w:val="false"/>
          <w:iCs w:val="false"/>
          <w:color w:val="2B2B2B"/>
          <w:sz w:val="22"/>
          <w:szCs w:val="22"/>
        </w:rPr>
        <w:t xml:space="preserve">ni</w:t>
      </w:r>
      <w:r>
        <w:rPr>
          <w:rFonts w:ascii="Garamond" w:cs="Garamond" w:eastAsia="Garamond" w:hAnsi="Garamond"/>
          <w:b w:val="false"/>
          <w:bCs w:val="false"/>
          <w:i w:val="false"/>
          <w:iCs w:val="false"/>
          <w:color w:val="2B2B2B"/>
          <w:sz w:val="22"/>
          <w:szCs w:val="22"/>
        </w:rPr>
        <w:t xml:space="preserve"> d’un inventaire officiel, </w:t>
      </w:r>
      <w:r>
        <w:rPr>
          <w:rFonts w:ascii="Garamond" w:cs="Garamond" w:eastAsia="Garamond" w:hAnsi="Garamond"/>
          <w:b/>
          <w:bCs/>
          <w:i w:val="false"/>
          <w:iCs w:val="false"/>
          <w:color w:val="2B2B2B"/>
          <w:sz w:val="22"/>
          <w:szCs w:val="22"/>
        </w:rPr>
        <w:t xml:space="preserve">ni</w:t>
      </w:r>
      <w:r>
        <w:rPr>
          <w:rFonts w:ascii="Garamond" w:cs="Garamond" w:eastAsia="Garamond" w:hAnsi="Garamond"/>
          <w:b w:val="false"/>
          <w:bCs w:val="false"/>
          <w:i w:val="false"/>
          <w:iCs w:val="false"/>
          <w:color w:val="2B2B2B"/>
          <w:sz w:val="22"/>
          <w:szCs w:val="22"/>
        </w:rPr>
        <w:t xml:space="preserve"> d’un travail effectué sur place dans les registres internes de la Bodleian. Ces deux étapes restent à mener par le groupe Oxford. Le présent document a vocation à servir de </w:t>
      </w:r>
      <w:r>
        <w:rPr>
          <w:rFonts w:ascii="Garamond" w:cs="Garamond" w:eastAsia="Garamond" w:hAnsi="Garamond"/>
          <w:b/>
          <w:bCs/>
          <w:i w:val="false"/>
          <w:iCs w:val="false"/>
          <w:color w:val="2B2B2B"/>
          <w:sz w:val="22"/>
          <w:szCs w:val="22"/>
        </w:rPr>
        <w:t xml:space="preserve">fiche de travail préparatoire</w:t>
      </w:r>
      <w:r>
        <w:rPr>
          <w:rFonts w:ascii="Garamond" w:cs="Garamond" w:eastAsia="Garamond" w:hAnsi="Garamond"/>
          <w:b w:val="false"/>
          <w:bCs w:val="false"/>
          <w:i w:val="false"/>
          <w:iCs w:val="false"/>
          <w:color w:val="2B2B2B"/>
          <w:sz w:val="22"/>
          <w:szCs w:val="22"/>
        </w:rPr>
        <w:t xml:space="preserve"> : il consigne ce qui est aujourd’hui établi de source publique, et identifie clairement ce qui reste à confirmer ou à découvrir.</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8860B" w:sz="18"/>
              <w:left w:val="single" w:color="B8860B" w:sz="4"/>
              <w:bottom w:val="single" w:color="B8860B" w:sz="4"/>
              <w:right w:val="single" w:color="B8860B" w:sz="4"/>
            </w:tcBorders>
            <w:shd w:fill="E5D9BF" w:val="clear"/>
            <w:tcMar>
              <w:top w:type="dxa" w:w="200"/>
              <w:left w:type="dxa" w:w="240"/>
              <w:bottom w:type="dxa" w:w="200"/>
              <w:right w:type="dxa" w:w="240"/>
            </w:tcMar>
          </w:tcPr>
          <w:p>
            <w:pPr>
              <w:spacing w:after="100" w:before="0"/>
            </w:pPr>
            <w:r>
              <w:rPr>
                <w:rFonts w:ascii="Garamond" w:cs="Garamond" w:eastAsia="Garamond" w:hAnsi="Garamond"/>
                <w:b/>
                <w:bCs/>
                <w:caps/>
                <w:color w:val="B8860B"/>
                <w:sz w:val="22"/>
                <w:szCs w:val="22"/>
              </w:rPr>
              <w:t xml:space="preserve">Principe directeur</w:t>
            </w:r>
          </w:p>
          <w:p>
            <w:pPr>
              <w:spacing w:after="0" w:before="0" w:line="300"/>
            </w:pPr>
            <w:r>
              <w:rPr>
                <w:rFonts w:ascii="Garamond" w:cs="Garamond" w:eastAsia="Garamond" w:hAnsi="Garamond"/>
                <w:color w:val="2B2B2B"/>
                <w:sz w:val="22"/>
                <w:szCs w:val="22"/>
              </w:rPr>
              <w:t xml:space="preserve">Aucune cote n’a été inventée. Aucun chiffre n’a été extrapolé. Tout ce qui est avancé est sourcé. Tout ce qui est incertain est marqué comme tel.</w:t>
            </w:r>
          </w:p>
        </w:tc>
      </w:tr>
    </w:tbl>
    <w:p>
      <w:r>
        <w:br w:type="page"/>
      </w:r>
    </w:p>
    <w:p>
      <w:pPr>
        <w:pStyle w:val="Heading1"/>
        <w:pBdr>
          <w:bottom w:val="single" w:color="B8860B" w:sz="12" w:space="6"/>
        </w:pBdr>
        <w:spacing w:after="200" w:before="360"/>
      </w:pPr>
      <w:r>
        <w:rPr>
          <w:rFonts w:ascii="Garamond" w:cs="Garamond" w:eastAsia="Garamond" w:hAnsi="Garamond"/>
          <w:b/>
          <w:bCs/>
          <w:color w:val="1B2A4A"/>
          <w:sz w:val="36"/>
          <w:szCs w:val="36"/>
        </w:rPr>
        <w:t xml:space="preserve">1.  Le contexte du dépôt</w:t>
      </w:r>
    </w:p>
    <w:p>
      <w:pPr>
        <w:pStyle w:val="Heading2"/>
        <w:spacing w:after="140" w:before="280"/>
      </w:pPr>
      <w:r>
        <w:rPr>
          <w:rFonts w:ascii="Garamond" w:cs="Garamond" w:eastAsia="Garamond" w:hAnsi="Garamond"/>
          <w:b/>
          <w:bCs/>
          <w:color w:val="1B2A4A"/>
          <w:sz w:val="28"/>
          <w:szCs w:val="28"/>
        </w:rPr>
        <w:t xml:space="preserve">Une succession en quatre temps</w:t>
      </w:r>
    </w:p>
    <w:p>
      <w:pPr>
        <w:spacing w:after="120" w:before="80" w:line="320"/>
      </w:pPr>
      <w:r>
        <w:rPr>
          <w:rFonts w:ascii="Garamond" w:cs="Garamond" w:eastAsia="Garamond" w:hAnsi="Garamond"/>
          <w:b w:val="false"/>
          <w:bCs w:val="false"/>
          <w:i w:val="false"/>
          <w:iCs w:val="false"/>
          <w:color w:val="2B2B2B"/>
          <w:sz w:val="22"/>
          <w:szCs w:val="22"/>
        </w:rPr>
        <w:t xml:space="preserve">Samuel David Luzzatto, dit Shadal (1800-1865), professeur au Collegio Rabbinico de Padoue, premier séminaire rabbinique moderne d’Europe, fut pendant un demi-siècle un dépositaire de confiance pour les rabbins, les communautés et les érudits d’Italie, du Maghreb et d’ailleurs. À sa mort en 1865, sa bibliothèque comprend deux ensembles distincts :</w:t>
      </w:r>
    </w:p>
    <w:p>
      <w:pPr>
        <w:pStyle w:val="ListParagraph"/>
        <w:numPr>
          <w:ilvl w:val="0"/>
          <w:numId w:val="2"/>
        </w:numPr>
        <w:spacing w:after="60" w:before="60" w:line="300"/>
      </w:pPr>
      <w:r>
        <w:rPr>
          <w:rFonts w:ascii="Garamond" w:cs="Garamond" w:eastAsia="Garamond" w:hAnsi="Garamond"/>
          <w:b w:val="false"/>
          <w:bCs w:val="false"/>
          <w:i w:val="false"/>
          <w:iCs w:val="false"/>
          <w:color w:val="2B2B2B"/>
          <w:sz w:val="22"/>
          <w:szCs w:val="22"/>
        </w:rPr>
        <w:t xml:space="preserve">ses écrits propres — manuscrits, correspondance, notes d’étude, copies autographes ;</w:t>
      </w:r>
    </w:p>
    <w:p>
      <w:pPr>
        <w:pStyle w:val="ListParagraph"/>
        <w:numPr>
          <w:ilvl w:val="0"/>
          <w:numId w:val="2"/>
        </w:numPr>
        <w:spacing w:after="60" w:before="60" w:line="300"/>
      </w:pPr>
      <w:r>
        <w:rPr>
          <w:rFonts w:ascii="Garamond" w:cs="Garamond" w:eastAsia="Garamond" w:hAnsi="Garamond"/>
          <w:b w:val="false"/>
          <w:bCs w:val="false"/>
          <w:i w:val="false"/>
          <w:iCs w:val="false"/>
          <w:color w:val="2B2B2B"/>
          <w:sz w:val="22"/>
          <w:szCs w:val="22"/>
        </w:rPr>
        <w:t xml:space="preserve">les manuscrits qui lui avaient été confiés par d’autres, pour étude, pour analyse ou pour mise en sécurité, sans qu’il en eût jamais revendiqué la propriété.</w:t>
      </w:r>
    </w:p>
    <w:p>
      <w:pPr>
        <w:spacing w:after="120" w:before="80" w:line="320"/>
      </w:pPr>
      <w:r>
        <w:rPr>
          <w:rFonts w:ascii="Garamond" w:cs="Garamond" w:eastAsia="Garamond" w:hAnsi="Garamond"/>
          <w:b w:val="false"/>
          <w:bCs w:val="false"/>
          <w:i w:val="false"/>
          <w:iCs w:val="false"/>
          <w:color w:val="2B2B2B"/>
          <w:sz w:val="22"/>
          <w:szCs w:val="22"/>
        </w:rPr>
        <w:t xml:space="preserve">De 1865 à 1869, son fils Isaïa (Isaiah) Luzzatto organise la succession. La complexité du tri — consultation d’experts, évaluation des documents, négociation avec des institutions sûres en pleine instabilité européenne — explique les quatre années écoulées.</w:t>
      </w:r>
    </w:p>
    <w:p>
      <w:pPr>
        <w:spacing w:after="120" w:before="80" w:line="320"/>
      </w:pPr>
      <w:r>
        <w:rPr>
          <w:rFonts w:ascii="Garamond" w:cs="Garamond" w:eastAsia="Garamond" w:hAnsi="Garamond"/>
          <w:b w:val="false"/>
          <w:bCs w:val="false"/>
          <w:i w:val="false"/>
          <w:iCs w:val="false"/>
          <w:color w:val="2B2B2B"/>
          <w:sz w:val="22"/>
          <w:szCs w:val="22"/>
        </w:rPr>
        <w:t xml:space="preserve">En 1869-1870, le partage s’opère en deux destinations principales :</w:t>
      </w:r>
    </w:p>
    <w:p>
      <w:pPr>
        <w:pStyle w:val="ListParagraph"/>
        <w:numPr>
          <w:ilvl w:val="0"/>
          <w:numId w:val="2"/>
        </w:numPr>
        <w:spacing w:after="60" w:before="60" w:line="300"/>
      </w:pPr>
      <w:r>
        <w:rPr>
          <w:rFonts w:ascii="Garamond" w:cs="Garamond" w:eastAsia="Garamond" w:hAnsi="Garamond"/>
          <w:b w:val="false"/>
          <w:bCs w:val="false"/>
          <w:i w:val="false"/>
          <w:iCs w:val="false"/>
          <w:color w:val="2B2B2B"/>
          <w:sz w:val="22"/>
          <w:szCs w:val="22"/>
        </w:rPr>
        <w:t xml:space="preserve">L’Alliance Israélite Universelle, à Paris, reçoit les écrits propres de Shadal, dont le splendide Mahzor Luzzatto enluminé du XIVᵉ siècle.</w:t>
      </w:r>
    </w:p>
    <w:p>
      <w:pPr>
        <w:pStyle w:val="ListParagraph"/>
        <w:numPr>
          <w:ilvl w:val="0"/>
          <w:numId w:val="2"/>
        </w:numPr>
        <w:spacing w:after="60" w:before="60" w:line="300"/>
      </w:pPr>
      <w:r>
        <w:rPr>
          <w:rFonts w:ascii="Garamond" w:cs="Garamond" w:eastAsia="Garamond" w:hAnsi="Garamond"/>
          <w:b w:val="false"/>
          <w:bCs w:val="false"/>
          <w:i w:val="false"/>
          <w:iCs w:val="false"/>
          <w:color w:val="2B2B2B"/>
          <w:sz w:val="22"/>
          <w:szCs w:val="22"/>
        </w:rPr>
        <w:t xml:space="preserve">La Bodleian Library, à Oxford, reçoit les autres manuscrits — ceux que Shadal n’avait fait que conserver pour autrui, et qu’il s’agissait désormais de protéger durablement.</w:t>
      </w:r>
    </w:p>
    <w:p>
      <w:pPr>
        <w:pStyle w:val="Heading2"/>
        <w:spacing w:after="140" w:before="280"/>
      </w:pPr>
      <w:r>
        <w:rPr>
          <w:rFonts w:ascii="Garamond" w:cs="Garamond" w:eastAsia="Garamond" w:hAnsi="Garamond"/>
          <w:b/>
          <w:bCs/>
          <w:color w:val="1B2A4A"/>
          <w:sz w:val="28"/>
          <w:szCs w:val="28"/>
        </w:rPr>
        <w:t xml:space="preserve">Pourquoi la Bodleian ?</w:t>
      </w:r>
    </w:p>
    <w:p>
      <w:pPr>
        <w:spacing w:after="120" w:before="80" w:line="320"/>
      </w:pPr>
      <w:r>
        <w:rPr>
          <w:rFonts w:ascii="Garamond" w:cs="Garamond" w:eastAsia="Garamond" w:hAnsi="Garamond"/>
          <w:b w:val="false"/>
          <w:bCs w:val="false"/>
          <w:i w:val="false"/>
          <w:iCs w:val="false"/>
          <w:color w:val="2B2B2B"/>
          <w:sz w:val="22"/>
          <w:szCs w:val="22"/>
        </w:rPr>
        <w:t xml:space="preserve">L’Europe du XIXᵉ siècle était instable : pogroms en Galicie, en Russie, en Roumanie, antisémitisme virulent, synagogues incendiées, bibliothèques dispersées. Oxford, au contraire, offrait sécurité, continuité, et un appareil savant déjà rompu à la conservation des manuscrits hébraïques (acquisitions Canonici en 1817, Oppenheim en 1829, Reggio en 1853). C’était la forteresse idéale.</w:t>
      </w:r>
    </w:p>
    <w:p>
      <w:pPr>
        <w:pBdr>
          <w:left w:val="single" w:color="B8860B" w:sz="18" w:space="12"/>
        </w:pBdr>
        <w:spacing w:after="200" w:before="200" w:line="320"/>
        <w:ind w:left="600" w:right="400"/>
        <w:jc w:val="left"/>
      </w:pPr>
      <w:r>
        <w:rPr>
          <w:rFonts w:ascii="Garamond" w:cs="Garamond" w:eastAsia="Garamond" w:hAnsi="Garamond"/>
          <w:i/>
          <w:iCs/>
          <w:color w:val="1B2A4A"/>
          <w:sz w:val="24"/>
          <w:szCs w:val="24"/>
        </w:rPr>
        <w:t xml:space="preserve">Les héritiers restent propriétaires ; Oxford agit comme gardien, non acquéreur. — Didier Nebot</w:t>
      </w:r>
    </w:p>
    <w:p>
      <w:pPr>
        <w:pStyle w:val="Heading1"/>
        <w:pBdr>
          <w:bottom w:val="single" w:color="B8860B" w:sz="12" w:space="6"/>
        </w:pBdr>
        <w:spacing w:after="200" w:before="360"/>
      </w:pPr>
      <w:r>
        <w:rPr>
          <w:rFonts w:ascii="Garamond" w:cs="Garamond" w:eastAsia="Garamond" w:hAnsi="Garamond"/>
          <w:b/>
          <w:bCs/>
          <w:color w:val="1B2A4A"/>
          <w:sz w:val="36"/>
          <w:szCs w:val="36"/>
        </w:rPr>
        <w:t xml:space="preserve">2.  Comment les manuscrits sont enregistrés à la Bodleian</w:t>
      </w:r>
    </w:p>
    <w:p>
      <w:pPr>
        <w:spacing w:after="120" w:before="80" w:line="320"/>
      </w:pPr>
      <w:r>
        <w:rPr>
          <w:rFonts w:ascii="Garamond" w:cs="Garamond" w:eastAsia="Garamond" w:hAnsi="Garamond"/>
          <w:b w:val="false"/>
          <w:bCs w:val="false"/>
          <w:i w:val="false"/>
          <w:iCs w:val="false"/>
          <w:color w:val="2B2B2B"/>
          <w:sz w:val="22"/>
          <w:szCs w:val="22"/>
        </w:rPr>
        <w:t xml:space="preserve">Contrairement à ce que pourrait laisser entendre la formule courante « cote Dep. Luzzatto », il n’existe pas de série unique homogène à la Bodleian portant ce nom. Les manuscrits issus du dépôt de 1869-1870 ont été redistribués, selon leur typologie et leur format, à travers plusieurs séries de cotes.</w:t>
      </w:r>
    </w:p>
    <w:p>
      <w:pPr>
        <w:pStyle w:val="Heading2"/>
        <w:spacing w:after="140" w:before="280"/>
      </w:pPr>
      <w:r>
        <w:rPr>
          <w:rFonts w:ascii="Garamond" w:cs="Garamond" w:eastAsia="Garamond" w:hAnsi="Garamond"/>
          <w:b/>
          <w:bCs/>
          <w:color w:val="1B2A4A"/>
          <w:sz w:val="28"/>
          <w:szCs w:val="28"/>
        </w:rPr>
        <w:t xml:space="preserve">Les séries concernées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4060"/>
        <w:gridCol w:w="2500"/>
      </w:tblGrid>
      <w:tr>
        <w:trPr>
          <w:tblHeader/>
        </w:trPr>
        <w:tc>
          <w:tcPr>
            <w:tcW w:type="dxa" w:w="2800"/>
            <w:tcBorders>
              <w:top w:val="single" w:color="D4C5A9" w:sz="4"/>
              <w:left w:val="single" w:color="D4C5A9" w:sz="4"/>
              <w:bottom w:val="single" w:color="D4C5A9" w:sz="4"/>
              <w:right w:val="single" w:color="D4C5A9" w:sz="4"/>
            </w:tcBorders>
            <w:shd w:fill="1B2A4A" w:val="clear"/>
            <w:tcMar>
              <w:top w:type="dxa" w:w="100"/>
              <w:left w:type="dxa" w:w="140"/>
              <w:bottom w:type="dxa" w:w="100"/>
              <w:right w:type="dxa" w:w="140"/>
            </w:tcMar>
          </w:tcPr>
          <w:p>
            <w:pPr>
              <w:spacing w:after="0" w:before="0" w:line="280"/>
            </w:pPr>
            <w:r>
              <w:rPr>
                <w:rFonts w:ascii="Garamond" w:cs="Garamond" w:eastAsia="Garamond" w:hAnsi="Garamond"/>
                <w:b/>
                <w:bCs/>
                <w:i w:val="false"/>
                <w:iCs w:val="false"/>
                <w:color w:val="FFFFFF"/>
                <w:sz w:val="20"/>
                <w:szCs w:val="20"/>
              </w:rPr>
              <w:t xml:space="preserve">Série</w:t>
            </w:r>
          </w:p>
        </w:tc>
        <w:tc>
          <w:tcPr>
            <w:tcW w:type="dxa" w:w="4060"/>
            <w:tcBorders>
              <w:top w:val="single" w:color="D4C5A9" w:sz="4"/>
              <w:left w:val="single" w:color="D4C5A9" w:sz="4"/>
              <w:bottom w:val="single" w:color="D4C5A9" w:sz="4"/>
              <w:right w:val="single" w:color="D4C5A9" w:sz="4"/>
            </w:tcBorders>
            <w:shd w:fill="1B2A4A" w:val="clear"/>
            <w:tcMar>
              <w:top w:type="dxa" w:w="100"/>
              <w:left w:type="dxa" w:w="140"/>
              <w:bottom w:type="dxa" w:w="100"/>
              <w:right w:type="dxa" w:w="140"/>
            </w:tcMar>
          </w:tcPr>
          <w:p>
            <w:pPr>
              <w:spacing w:after="0" w:before="0" w:line="280"/>
            </w:pPr>
            <w:r>
              <w:rPr>
                <w:rFonts w:ascii="Garamond" w:cs="Garamond" w:eastAsia="Garamond" w:hAnsi="Garamond"/>
                <w:b/>
                <w:bCs/>
                <w:i w:val="false"/>
                <w:iCs w:val="false"/>
                <w:color w:val="FFFFFF"/>
                <w:sz w:val="20"/>
                <w:szCs w:val="20"/>
              </w:rPr>
              <w:t xml:space="preserve">Description</w:t>
            </w:r>
          </w:p>
        </w:tc>
        <w:tc>
          <w:tcPr>
            <w:tcW w:type="dxa" w:w="2500"/>
            <w:tcBorders>
              <w:top w:val="single" w:color="D4C5A9" w:sz="4"/>
              <w:left w:val="single" w:color="D4C5A9" w:sz="4"/>
              <w:bottom w:val="single" w:color="D4C5A9" w:sz="4"/>
              <w:right w:val="single" w:color="D4C5A9" w:sz="4"/>
            </w:tcBorders>
            <w:shd w:fill="1B2A4A" w:val="clear"/>
            <w:tcMar>
              <w:top w:type="dxa" w:w="100"/>
              <w:left w:type="dxa" w:w="140"/>
              <w:bottom w:type="dxa" w:w="100"/>
              <w:right w:type="dxa" w:w="140"/>
            </w:tcMar>
          </w:tcPr>
          <w:p>
            <w:pPr>
              <w:spacing w:after="0" w:before="0" w:line="280"/>
            </w:pPr>
            <w:r>
              <w:rPr>
                <w:rFonts w:ascii="Garamond" w:cs="Garamond" w:eastAsia="Garamond" w:hAnsi="Garamond"/>
                <w:b/>
                <w:bCs/>
                <w:i w:val="false"/>
                <w:iCs w:val="false"/>
                <w:color w:val="FFFFFF"/>
                <w:sz w:val="20"/>
                <w:szCs w:val="20"/>
              </w:rPr>
              <w:t xml:space="preserve">Étendue</w:t>
            </w:r>
          </w:p>
        </w:tc>
      </w:tr>
      <w:tr>
        <w:tc>
          <w:tcPr>
            <w:tcW w:type="dxa" w:w="28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bCs/>
                <w:i w:val="false"/>
                <w:iCs w:val="false"/>
                <w:color w:val="2B2B2B"/>
                <w:sz w:val="21"/>
                <w:szCs w:val="21"/>
              </w:rPr>
              <w:t xml:space="preserve">MSS. Opp. Add. fol.</w:t>
            </w:r>
          </w:p>
        </w:tc>
        <w:tc>
          <w:tcPr>
            <w:tcW w:type="dxa" w:w="406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Manuscrits in-folio ajoutés à la collection Oppenheimer après 1847</w:t>
            </w:r>
          </w:p>
        </w:tc>
        <w:tc>
          <w:tcPr>
            <w:tcW w:type="dxa" w:w="25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iCs/>
                <w:color w:val="2B2B2B"/>
                <w:sz w:val="21"/>
                <w:szCs w:val="21"/>
              </w:rPr>
              <w:t xml:space="preserve">nº 1-66, 68-72</w:t>
            </w:r>
          </w:p>
        </w:tc>
      </w:tr>
      <w:tr>
        <w:tc>
          <w:tcPr>
            <w:tcW w:type="dxa" w:w="280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bCs/>
                <w:i w:val="false"/>
                <w:iCs w:val="false"/>
                <w:color w:val="2B2B2B"/>
                <w:sz w:val="21"/>
                <w:szCs w:val="21"/>
              </w:rPr>
              <w:t xml:space="preserve">MSS. Opp. Add. 4°</w:t>
            </w:r>
          </w:p>
        </w:tc>
        <w:tc>
          <w:tcPr>
            <w:tcW w:type="dxa" w:w="406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Manuscrits in-quarto. Le Mahzor d’Oran 84-88 en fait partie.</w:t>
            </w:r>
          </w:p>
        </w:tc>
        <w:tc>
          <w:tcPr>
            <w:tcW w:type="dxa" w:w="250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val="false"/>
                <w:bCs w:val="false"/>
                <w:i/>
                <w:iCs/>
                <w:color w:val="2B2B2B"/>
                <w:sz w:val="21"/>
                <w:szCs w:val="21"/>
              </w:rPr>
              <w:t xml:space="preserve">nº 1-194</w:t>
            </w:r>
          </w:p>
        </w:tc>
      </w:tr>
      <w:tr>
        <w:tc>
          <w:tcPr>
            <w:tcW w:type="dxa" w:w="28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bCs/>
                <w:i w:val="false"/>
                <w:iCs w:val="false"/>
                <w:color w:val="2B2B2B"/>
                <w:sz w:val="21"/>
                <w:szCs w:val="21"/>
              </w:rPr>
              <w:t xml:space="preserve">MSS. Opp. Add. 8°</w:t>
            </w:r>
          </w:p>
        </w:tc>
        <w:tc>
          <w:tcPr>
            <w:tcW w:type="dxa" w:w="406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Manuscrits in-octavo (petit format)</w:t>
            </w:r>
          </w:p>
        </w:tc>
        <w:tc>
          <w:tcPr>
            <w:tcW w:type="dxa" w:w="25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iCs/>
                <w:color w:val="2B2B2B"/>
                <w:sz w:val="21"/>
                <w:szCs w:val="21"/>
              </w:rPr>
              <w:t xml:space="preserve">nº 1-21, 23-79</w:t>
            </w:r>
          </w:p>
        </w:tc>
      </w:tr>
      <w:tr>
        <w:tc>
          <w:tcPr>
            <w:tcW w:type="dxa" w:w="280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bCs/>
                <w:i w:val="false"/>
                <w:iCs w:val="false"/>
                <w:color w:val="2B2B2B"/>
                <w:sz w:val="21"/>
                <w:szCs w:val="21"/>
              </w:rPr>
              <w:t xml:space="preserve">MSS. Heb.</w:t>
            </w:r>
          </w:p>
        </w:tc>
        <w:tc>
          <w:tcPr>
            <w:tcW w:type="dxa" w:w="406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Série créée en 1886 (sous-séries a, b, c, d, e, f, g) — réceptacle des acquisitions postérieures</w:t>
            </w:r>
          </w:p>
        </w:tc>
        <w:tc>
          <w:tcPr>
            <w:tcW w:type="dxa" w:w="250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val="false"/>
                <w:bCs w:val="false"/>
                <w:i/>
                <w:iCs/>
                <w:color w:val="2B2B2B"/>
                <w:sz w:val="21"/>
                <w:szCs w:val="21"/>
              </w:rPr>
              <w:t xml:space="preserve">très étendue</w:t>
            </w:r>
          </w:p>
        </w:tc>
      </w:tr>
      <w:tr>
        <w:tc>
          <w:tcPr>
            <w:tcW w:type="dxa" w:w="28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bCs/>
                <w:i w:val="false"/>
                <w:iCs w:val="false"/>
                <w:color w:val="2B2B2B"/>
                <w:sz w:val="21"/>
                <w:szCs w:val="21"/>
              </w:rPr>
              <w:t xml:space="preserve">MSS. Hebrew Rolls</w:t>
            </w:r>
          </w:p>
        </w:tc>
        <w:tc>
          <w:tcPr>
            <w:tcW w:type="dxa" w:w="406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Rouleaux (créée en 1884, fermée en 1910)</w:t>
            </w:r>
          </w:p>
        </w:tc>
        <w:tc>
          <w:tcPr>
            <w:tcW w:type="dxa" w:w="25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iCs/>
                <w:color w:val="2B2B2B"/>
                <w:sz w:val="21"/>
                <w:szCs w:val="21"/>
              </w:rPr>
              <w:t xml:space="preserve">a. 1, 3 ; b. 1-2 ; g. 1</w:t>
            </w:r>
          </w:p>
        </w:tc>
      </w:tr>
    </w:tbl>
    <w:p>
      <w:pPr>
        <w:spacing w:after="120" w:before="80" w:line="320"/>
      </w:pPr>
      <w:r>
        <w:rPr>
          <w:rFonts w:ascii="Garamond" w:cs="Garamond" w:eastAsia="Garamond" w:hAnsi="Garamond"/>
          <w:b w:val="false"/>
          <w:bCs w:val="false"/>
          <w:i/>
          <w:iCs/>
          <w:color w:val="8A8A8A"/>
          <w:sz w:val="18"/>
          <w:szCs w:val="18"/>
        </w:rPr>
        <w:t xml:space="preserve">Source : Archives Hub (JISC), description « Miscellaneous Hebrew manuscripts in the Bodleian Library », GB 161.</w:t>
      </w:r>
    </w:p>
    <w:p>
      <w:pPr>
        <w:pStyle w:val="Heading2"/>
        <w:spacing w:after="140" w:before="280"/>
      </w:pPr>
      <w:r>
        <w:rPr>
          <w:rFonts w:ascii="Garamond" w:cs="Garamond" w:eastAsia="Garamond" w:hAnsi="Garamond"/>
          <w:b/>
          <w:bCs/>
          <w:color w:val="1B2A4A"/>
          <w:sz w:val="28"/>
          <w:szCs w:val="28"/>
        </w:rPr>
        <w:t xml:space="preserve">Combien de manuscrits Luzzatto, exactement ?</w:t>
      </w:r>
    </w:p>
    <w:p>
      <w:pPr>
        <w:spacing w:after="120" w:before="80" w:line="320"/>
      </w:pPr>
      <w:r>
        <w:rPr>
          <w:rFonts w:ascii="Garamond" w:cs="Garamond" w:eastAsia="Garamond" w:hAnsi="Garamond"/>
          <w:b w:val="false"/>
          <w:bCs w:val="false"/>
          <w:i w:val="false"/>
          <w:iCs w:val="false"/>
          <w:color w:val="2B2B2B"/>
          <w:sz w:val="22"/>
          <w:szCs w:val="22"/>
        </w:rPr>
        <w:t xml:space="preserve">Le chiffre couramment repris dans les études — et dans Le Manuscrit sacré de Didier Nebot — est de « près de 500 manuscrits ». Les sources directes consultées suggèrent cependant un chiffre plus modeste.</w:t>
      </w:r>
    </w:p>
    <w:p>
      <w:pPr>
        <w:spacing w:after="120" w:before="80" w:line="320"/>
      </w:pPr>
      <w:r>
        <w:rPr>
          <w:rFonts w:ascii="Garamond" w:cs="Garamond" w:eastAsia="Garamond" w:hAnsi="Garamond"/>
          <w:b w:val="false"/>
          <w:bCs w:val="false"/>
          <w:i w:val="false"/>
          <w:iCs w:val="false"/>
          <w:color w:val="2B2B2B"/>
          <w:sz w:val="22"/>
          <w:szCs w:val="22"/>
        </w:rPr>
        <w:t xml:space="preserve">La série complète </w:t>
      </w:r>
      <w:r>
        <w:rPr>
          <w:rFonts w:ascii="Garamond" w:cs="Garamond" w:eastAsia="Garamond" w:hAnsi="Garamond"/>
          <w:b/>
          <w:bCs/>
          <w:i w:val="false"/>
          <w:iCs w:val="false"/>
          <w:color w:val="2B2B2B"/>
          <w:sz w:val="22"/>
          <w:szCs w:val="22"/>
        </w:rPr>
        <w:t xml:space="preserve">MSS. Opp. Add.</w:t>
      </w:r>
      <w:r>
        <w:rPr>
          <w:rFonts w:ascii="Garamond" w:cs="Garamond" w:eastAsia="Garamond" w:hAnsi="Garamond"/>
          <w:b w:val="false"/>
          <w:bCs w:val="false"/>
          <w:i w:val="false"/>
          <w:iCs w:val="false"/>
          <w:color w:val="2B2B2B"/>
          <w:sz w:val="22"/>
          <w:szCs w:val="22"/>
        </w:rPr>
        <w:t xml:space="preserve"> (folio + quarto + octavo) totalisait </w:t>
      </w:r>
      <w:r>
        <w:rPr>
          <w:rFonts w:ascii="Garamond" w:cs="Garamond" w:eastAsia="Garamond" w:hAnsi="Garamond"/>
          <w:b/>
          <w:bCs/>
          <w:i w:val="false"/>
          <w:iCs w:val="false"/>
          <w:color w:val="722F37"/>
          <w:sz w:val="22"/>
          <w:szCs w:val="22"/>
        </w:rPr>
        <w:t xml:space="preserve">environ 345 manuscrits</w:t>
      </w:r>
      <w:r>
        <w:rPr>
          <w:rFonts w:ascii="Garamond" w:cs="Garamond" w:eastAsia="Garamond" w:hAnsi="Garamond"/>
          <w:b w:val="false"/>
          <w:bCs w:val="false"/>
          <w:i w:val="false"/>
          <w:iCs w:val="false"/>
          <w:color w:val="2B2B2B"/>
          <w:sz w:val="22"/>
          <w:szCs w:val="22"/>
        </w:rPr>
        <w:t xml:space="preserve"> lorsqu’elle a été clôturée en 1885. Or cette série mêle plusieurs provenances : Heidenheim (1863), Schönblum (1864-84), Hirsch (1873-7), Saphir (1875-9), et Luzzatto (1869-70). </w:t>
      </w:r>
      <w:r>
        <w:rPr>
          <w:rFonts w:ascii="Garamond" w:cs="Garamond" w:eastAsia="Garamond" w:hAnsi="Garamond"/>
          <w:b/>
          <w:bCs/>
          <w:i w:val="false"/>
          <w:iCs w:val="false"/>
          <w:color w:val="2B2B2B"/>
          <w:sz w:val="22"/>
          <w:szCs w:val="22"/>
        </w:rPr>
        <w:t xml:space="preserve">Le sous-ensemble Luzzatto est donc une fraction de ces 345 manuscrits</w:t>
      </w:r>
      <w:r>
        <w:rPr>
          <w:rFonts w:ascii="Garamond" w:cs="Garamond" w:eastAsia="Garamond" w:hAnsi="Garamond"/>
          <w:b w:val="false"/>
          <w:bCs w:val="false"/>
          <w:i w:val="false"/>
          <w:iCs w:val="false"/>
          <w:color w:val="2B2B2B"/>
          <w:sz w:val="22"/>
          <w:szCs w:val="22"/>
        </w:rPr>
        <w:t xml:space="preserve"> — vraisemblablement entre 100 et 200 cotes — auquel s’ajoutent quelques manuscrits plus tardifs reclassés dans MSS. Heb.</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722F37" w:sz="18"/>
              <w:left w:val="single" w:color="722F37" w:sz="4"/>
              <w:bottom w:val="single" w:color="722F37" w:sz="4"/>
              <w:right w:val="single" w:color="722F37" w:sz="4"/>
            </w:tcBorders>
            <w:shd w:fill="EDE5D5" w:val="clear"/>
            <w:tcMar>
              <w:top w:type="dxa" w:w="200"/>
              <w:left w:type="dxa" w:w="240"/>
              <w:bottom w:type="dxa" w:w="200"/>
              <w:right w:type="dxa" w:w="240"/>
            </w:tcMar>
          </w:tcPr>
          <w:p>
            <w:pPr>
              <w:spacing w:after="100" w:before="0"/>
            </w:pPr>
            <w:r>
              <w:rPr>
                <w:rFonts w:ascii="Garamond" w:cs="Garamond" w:eastAsia="Garamond" w:hAnsi="Garamond"/>
                <w:b/>
                <w:bCs/>
                <w:caps/>
                <w:color w:val="722F37"/>
                <w:sz w:val="22"/>
                <w:szCs w:val="22"/>
              </w:rPr>
              <w:t xml:space="preserve">Recommandation</w:t>
            </w:r>
          </w:p>
          <w:p>
            <w:pPr>
              <w:spacing w:after="0" w:before="0" w:line="300"/>
            </w:pPr>
            <w:r>
              <w:rPr>
                <w:rFonts w:ascii="Garamond" w:cs="Garamond" w:eastAsia="Garamond" w:hAnsi="Garamond"/>
                <w:color w:val="2B2B2B"/>
                <w:sz w:val="22"/>
                <w:szCs w:val="22"/>
              </w:rPr>
              <w:t xml:space="preserve">Cette divergence chiffrée doit être éclaircie sur place. Le travail consistera à identifier dans Neubauer 1886, manuscrit par manuscrit, ceux dont la notice mentionne explicitement « from Luzzatto » ou « from S. D. Luzzatto's library ». Seul ce comptage manuel donnera le chiffre exact.</w:t>
            </w:r>
          </w:p>
        </w:tc>
      </w:tr>
    </w:tbl>
    <w:p>
      <w:r>
        <w:br w:type="page"/>
      </w:r>
    </w:p>
    <w:p>
      <w:pPr>
        <w:pStyle w:val="Heading1"/>
        <w:pBdr>
          <w:bottom w:val="single" w:color="B8860B" w:sz="12" w:space="6"/>
        </w:pBdr>
        <w:spacing w:after="200" w:before="360"/>
      </w:pPr>
      <w:r>
        <w:rPr>
          <w:rFonts w:ascii="Garamond" w:cs="Garamond" w:eastAsia="Garamond" w:hAnsi="Garamond"/>
          <w:b/>
          <w:bCs/>
          <w:color w:val="1B2A4A"/>
          <w:sz w:val="36"/>
          <w:szCs w:val="36"/>
        </w:rPr>
        <w:t xml:space="preserve">3.  Manuscrits identifiés à ce jour</w:t>
      </w:r>
    </w:p>
    <w:p>
      <w:pPr>
        <w:spacing w:after="120" w:before="80" w:line="320"/>
      </w:pPr>
      <w:r>
        <w:rPr>
          <w:rFonts w:ascii="Garamond" w:cs="Garamond" w:eastAsia="Garamond" w:hAnsi="Garamond"/>
          <w:b w:val="false"/>
          <w:bCs w:val="false"/>
          <w:i w:val="false"/>
          <w:iCs w:val="false"/>
          <w:color w:val="2B2B2B"/>
          <w:sz w:val="22"/>
          <w:szCs w:val="22"/>
        </w:rPr>
        <w:t xml:space="preserve">Les manuscrits ci-dessous sont ceux pour lesquels une provenance Luzzatto est documentée par une source académique vérifiable, ou mentionnée dans Le Manuscrit sacré de Didier Nebot.</w:t>
      </w:r>
    </w:p>
    <w:p>
      <w:pPr>
        <w:pStyle w:val="Heading2"/>
        <w:spacing w:after="140" w:before="280"/>
      </w:pPr>
      <w:r>
        <w:rPr>
          <w:rFonts w:ascii="Garamond" w:cs="Garamond" w:eastAsia="Garamond" w:hAnsi="Garamond"/>
          <w:b/>
          <w:bCs/>
          <w:color w:val="1B2A4A"/>
          <w:sz w:val="28"/>
          <w:szCs w:val="28"/>
        </w:rPr>
        <w:t xml:space="preserve">3.1  Le Mahzor d’Oran (5 volumes)</w:t>
      </w:r>
    </w:p>
    <w:p>
      <w:pPr>
        <w:spacing w:after="120" w:before="80" w:line="320"/>
      </w:pPr>
      <w:r>
        <w:rPr>
          <w:rFonts w:ascii="Garamond" w:cs="Garamond" w:eastAsia="Garamond" w:hAnsi="Garamond"/>
          <w:b w:val="false"/>
          <w:bCs w:val="false"/>
          <w:i/>
          <w:iCs/>
          <w:color w:val="2B2B2B"/>
          <w:sz w:val="22"/>
          <w:szCs w:val="22"/>
        </w:rPr>
        <w:t xml:space="preserve">Source : </w:t>
      </w:r>
      <w:r>
        <w:rPr>
          <w:rFonts w:ascii="Garamond" w:cs="Garamond" w:eastAsia="Garamond" w:hAnsi="Garamond"/>
          <w:b w:val="false"/>
          <w:bCs w:val="false"/>
          <w:i/>
          <w:iCs/>
          <w:color w:val="2B2B2B"/>
          <w:sz w:val="22"/>
          <w:szCs w:val="22"/>
        </w:rPr>
        <w:t xml:space="preserve">Judeo-Arabic Love Poems from the Western Mediterranean</w:t>
      </w:r>
      <w:r>
        <w:rPr>
          <w:rFonts w:ascii="Garamond" w:cs="Garamond" w:eastAsia="Garamond" w:hAnsi="Garamond"/>
          <w:b w:val="false"/>
          <w:bCs w:val="false"/>
          <w:i/>
          <w:iCs/>
          <w:color w:val="2B2B2B"/>
          <w:sz w:val="22"/>
          <w:szCs w:val="22"/>
        </w:rPr>
        <w:t xml:space="preserve">, projet de recherche de Jonathan Glasser (William &amp; Mary), avec la collaboration de César Merchan-Hamann (curateur Bodleian).</w:t>
      </w:r>
    </w:p>
    <w:p>
      <w:pPr>
        <w:spacing w:after="120" w:before="80" w:line="320"/>
      </w:pPr>
      <w:r>
        <w:rPr>
          <w:rFonts w:ascii="Garamond" w:cs="Garamond" w:eastAsia="Garamond" w:hAnsi="Garamond"/>
          <w:b w:val="false"/>
          <w:bCs w:val="false"/>
          <w:i w:val="false"/>
          <w:iCs w:val="false"/>
          <w:color w:val="2B2B2B"/>
          <w:sz w:val="22"/>
          <w:szCs w:val="22"/>
        </w:rPr>
        <w:t xml:space="preserve">Recueil liturgique en cinq volumes, compilé au XVIIᵉ siècle à Oran (probablement par la famille Cansino) puis poursuivi en exil à Livourne après l’expulsion espagnole de 1669. Il contient des prières liturgiques, des piyutim, et un cycle de poèmes en judéo-arabe d’une importance philologique exceptionnelle. Il fut acquis par S. D. Luzzatto vers 1834, puis vendu à la Bodleian par Isaïa Luzzatto en 1869.</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00"/>
        <w:gridCol w:w="4560"/>
        <w:gridCol w:w="2500"/>
      </w:tblGrid>
      <w:tr>
        <w:trPr>
          <w:tblHeader/>
        </w:trPr>
        <w:tc>
          <w:tcPr>
            <w:tcW w:type="dxa" w:w="2300"/>
            <w:tcBorders>
              <w:top w:val="single" w:color="D4C5A9" w:sz="4"/>
              <w:left w:val="single" w:color="D4C5A9" w:sz="4"/>
              <w:bottom w:val="single" w:color="D4C5A9" w:sz="4"/>
              <w:right w:val="single" w:color="D4C5A9" w:sz="4"/>
            </w:tcBorders>
            <w:shd w:fill="1B2A4A" w:val="clear"/>
            <w:tcMar>
              <w:top w:type="dxa" w:w="100"/>
              <w:left w:type="dxa" w:w="140"/>
              <w:bottom w:type="dxa" w:w="100"/>
              <w:right w:type="dxa" w:w="140"/>
            </w:tcMar>
          </w:tcPr>
          <w:p>
            <w:pPr>
              <w:spacing w:after="0" w:before="0" w:line="280"/>
            </w:pPr>
            <w:r>
              <w:rPr>
                <w:rFonts w:ascii="Garamond" w:cs="Garamond" w:eastAsia="Garamond" w:hAnsi="Garamond"/>
                <w:b/>
                <w:bCs/>
                <w:i w:val="false"/>
                <w:iCs w:val="false"/>
                <w:color w:val="FFFFFF"/>
                <w:sz w:val="20"/>
                <w:szCs w:val="20"/>
              </w:rPr>
              <w:t xml:space="preserve">Cote Bodleian</w:t>
            </w:r>
          </w:p>
        </w:tc>
        <w:tc>
          <w:tcPr>
            <w:tcW w:type="dxa" w:w="4560"/>
            <w:tcBorders>
              <w:top w:val="single" w:color="D4C5A9" w:sz="4"/>
              <w:left w:val="single" w:color="D4C5A9" w:sz="4"/>
              <w:bottom w:val="single" w:color="D4C5A9" w:sz="4"/>
              <w:right w:val="single" w:color="D4C5A9" w:sz="4"/>
            </w:tcBorders>
            <w:shd w:fill="1B2A4A" w:val="clear"/>
            <w:tcMar>
              <w:top w:type="dxa" w:w="100"/>
              <w:left w:type="dxa" w:w="140"/>
              <w:bottom w:type="dxa" w:w="100"/>
              <w:right w:type="dxa" w:w="140"/>
            </w:tcMar>
          </w:tcPr>
          <w:p>
            <w:pPr>
              <w:spacing w:after="0" w:before="0" w:line="280"/>
            </w:pPr>
            <w:r>
              <w:rPr>
                <w:rFonts w:ascii="Garamond" w:cs="Garamond" w:eastAsia="Garamond" w:hAnsi="Garamond"/>
                <w:b/>
                <w:bCs/>
                <w:i w:val="false"/>
                <w:iCs w:val="false"/>
                <w:color w:val="FFFFFF"/>
                <w:sz w:val="20"/>
                <w:szCs w:val="20"/>
              </w:rPr>
              <w:t xml:space="preserve">Contenu</w:t>
            </w:r>
          </w:p>
        </w:tc>
        <w:tc>
          <w:tcPr>
            <w:tcW w:type="dxa" w:w="2500"/>
            <w:tcBorders>
              <w:top w:val="single" w:color="D4C5A9" w:sz="4"/>
              <w:left w:val="single" w:color="D4C5A9" w:sz="4"/>
              <w:bottom w:val="single" w:color="D4C5A9" w:sz="4"/>
              <w:right w:val="single" w:color="D4C5A9" w:sz="4"/>
            </w:tcBorders>
            <w:shd w:fill="1B2A4A" w:val="clear"/>
            <w:tcMar>
              <w:top w:type="dxa" w:w="100"/>
              <w:left w:type="dxa" w:w="140"/>
              <w:bottom w:type="dxa" w:w="100"/>
              <w:right w:type="dxa" w:w="140"/>
            </w:tcMar>
          </w:tcPr>
          <w:p>
            <w:pPr>
              <w:spacing w:after="0" w:before="0" w:line="280"/>
            </w:pPr>
            <w:r>
              <w:rPr>
                <w:rFonts w:ascii="Garamond" w:cs="Garamond" w:eastAsia="Garamond" w:hAnsi="Garamond"/>
                <w:b/>
                <w:bCs/>
                <w:i w:val="false"/>
                <w:iCs w:val="false"/>
                <w:color w:val="FFFFFF"/>
                <w:sz w:val="20"/>
                <w:szCs w:val="20"/>
              </w:rPr>
              <w:t xml:space="preserve">Particularité</w:t>
            </w:r>
          </w:p>
        </w:tc>
      </w:tr>
      <w:tr>
        <w:tc>
          <w:tcPr>
            <w:tcW w:type="dxa" w:w="23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bCs/>
                <w:i w:val="false"/>
                <w:iCs w:val="false"/>
                <w:color w:val="2B2B2B"/>
                <w:sz w:val="21"/>
                <w:szCs w:val="21"/>
              </w:rPr>
              <w:t xml:space="preserve">MS. Opp. Add. 4° 84</w:t>
            </w:r>
          </w:p>
        </w:tc>
        <w:tc>
          <w:tcPr>
            <w:tcW w:type="dxa" w:w="456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Mahzor d’Oran — Volume I</w:t>
            </w:r>
          </w:p>
        </w:tc>
        <w:tc>
          <w:tcPr>
            <w:tcW w:type="dxa" w:w="25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iCs/>
                <w:color w:val="2B2B2B"/>
                <w:sz w:val="21"/>
                <w:szCs w:val="21"/>
              </w:rPr>
              <w:t xml:space="preserve">Liturgie annuelle</w:t>
            </w:r>
          </w:p>
        </w:tc>
      </w:tr>
      <w:tr>
        <w:tc>
          <w:tcPr>
            <w:tcW w:type="dxa" w:w="230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bCs/>
                <w:i w:val="false"/>
                <w:iCs w:val="false"/>
                <w:color w:val="2B2B2B"/>
                <w:sz w:val="21"/>
                <w:szCs w:val="21"/>
              </w:rPr>
              <w:t xml:space="preserve">MS. Opp. Add. 4° 85</w:t>
            </w:r>
          </w:p>
        </w:tc>
        <w:tc>
          <w:tcPr>
            <w:tcW w:type="dxa" w:w="456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Mahzor d’Oran — Volume II</w:t>
            </w:r>
          </w:p>
        </w:tc>
        <w:tc>
          <w:tcPr>
            <w:tcW w:type="dxa" w:w="250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val="false"/>
                <w:bCs w:val="false"/>
                <w:i/>
                <w:iCs/>
                <w:color w:val="2B2B2B"/>
                <w:sz w:val="21"/>
                <w:szCs w:val="21"/>
              </w:rPr>
              <w:t xml:space="preserve">Cycle de poèmes en judéo-arabe (fol. 101v-141r)</w:t>
            </w:r>
          </w:p>
        </w:tc>
      </w:tr>
      <w:tr>
        <w:tc>
          <w:tcPr>
            <w:tcW w:type="dxa" w:w="23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bCs/>
                <w:i w:val="false"/>
                <w:iCs w:val="false"/>
                <w:color w:val="2B2B2B"/>
                <w:sz w:val="21"/>
                <w:szCs w:val="21"/>
              </w:rPr>
              <w:t xml:space="preserve">MS. Opp. Add. 4° 86</w:t>
            </w:r>
          </w:p>
        </w:tc>
        <w:tc>
          <w:tcPr>
            <w:tcW w:type="dxa" w:w="456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Mahzor d’Oran — Volume III</w:t>
            </w:r>
          </w:p>
        </w:tc>
        <w:tc>
          <w:tcPr>
            <w:tcW w:type="dxa" w:w="25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
            </w:r>
          </w:p>
        </w:tc>
      </w:tr>
      <w:tr>
        <w:tc>
          <w:tcPr>
            <w:tcW w:type="dxa" w:w="230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bCs/>
                <w:i w:val="false"/>
                <w:iCs w:val="false"/>
                <w:color w:val="2B2B2B"/>
                <w:sz w:val="21"/>
                <w:szCs w:val="21"/>
              </w:rPr>
              <w:t xml:space="preserve">MS. Opp. Add. 4° 87</w:t>
            </w:r>
          </w:p>
        </w:tc>
        <w:tc>
          <w:tcPr>
            <w:tcW w:type="dxa" w:w="456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Mahzor d’Oran — Volume IV</w:t>
            </w:r>
          </w:p>
        </w:tc>
        <w:tc>
          <w:tcPr>
            <w:tcW w:type="dxa" w:w="250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
            </w:r>
          </w:p>
        </w:tc>
      </w:tr>
      <w:tr>
        <w:tc>
          <w:tcPr>
            <w:tcW w:type="dxa" w:w="23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bCs/>
                <w:i w:val="false"/>
                <w:iCs w:val="false"/>
                <w:color w:val="2B2B2B"/>
                <w:sz w:val="21"/>
                <w:szCs w:val="21"/>
              </w:rPr>
              <w:t xml:space="preserve">MS. Opp. Add. 4° 88</w:t>
            </w:r>
          </w:p>
        </w:tc>
        <w:tc>
          <w:tcPr>
            <w:tcW w:type="dxa" w:w="456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Mahzor d’Oran — Volume V</w:t>
            </w:r>
          </w:p>
        </w:tc>
        <w:tc>
          <w:tcPr>
            <w:tcW w:type="dxa" w:w="25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
            </w:r>
          </w:p>
        </w:tc>
      </w:tr>
    </w:tbl>
    <w:p>
      <w:pPr>
        <w:pStyle w:val="Heading2"/>
        <w:spacing w:after="140" w:before="280"/>
      </w:pPr>
      <w:r>
        <w:rPr>
          <w:rFonts w:ascii="Garamond" w:cs="Garamond" w:eastAsia="Garamond" w:hAnsi="Garamond"/>
          <w:b/>
          <w:bCs/>
          <w:color w:val="1B2A4A"/>
          <w:sz w:val="28"/>
          <w:szCs w:val="28"/>
        </w:rPr>
        <w:t xml:space="preserve">3.2  Les manuscrits Aln’kaoua</w:t>
      </w:r>
    </w:p>
    <w:p>
      <w:pPr>
        <w:spacing w:after="120" w:before="80" w:line="320"/>
      </w:pPr>
      <w:r>
        <w:rPr>
          <w:rFonts w:ascii="Garamond" w:cs="Garamond" w:eastAsia="Garamond" w:hAnsi="Garamond"/>
          <w:b w:val="false"/>
          <w:bCs w:val="false"/>
          <w:i/>
          <w:iCs/>
          <w:color w:val="2B2B2B"/>
          <w:sz w:val="22"/>
          <w:szCs w:val="22"/>
        </w:rPr>
        <w:t xml:space="preserve">Source : Didier Nebot, </w:t>
      </w:r>
      <w:r>
        <w:rPr>
          <w:rFonts w:ascii="Garamond" w:cs="Garamond" w:eastAsia="Garamond" w:hAnsi="Garamond"/>
          <w:b w:val="false"/>
          <w:bCs w:val="false"/>
          <w:i/>
          <w:iCs/>
          <w:color w:val="2B2B2B"/>
          <w:sz w:val="22"/>
          <w:szCs w:val="22"/>
        </w:rPr>
        <w:t xml:space="preserve">Le Manuscrit sacré</w:t>
      </w:r>
      <w:r>
        <w:rPr>
          <w:rFonts w:ascii="Garamond" w:cs="Garamond" w:eastAsia="Garamond" w:hAnsi="Garamond"/>
          <w:b w:val="false"/>
          <w:bCs w:val="false"/>
          <w:i/>
          <w:iCs/>
          <w:color w:val="2B2B2B"/>
          <w:sz w:val="22"/>
          <w:szCs w:val="22"/>
        </w:rPr>
        <w:t xml:space="preserve"> (Erick Bonnier, 2026), p. 261-264.</w:t>
      </w:r>
    </w:p>
    <w:p>
      <w:pPr>
        <w:spacing w:after="120" w:before="80" w:line="320"/>
      </w:pPr>
      <w:r>
        <w:rPr>
          <w:rFonts w:ascii="Garamond" w:cs="Garamond" w:eastAsia="Garamond" w:hAnsi="Garamond"/>
          <w:b w:val="false"/>
          <w:bCs w:val="false"/>
          <w:i w:val="false"/>
          <w:iCs w:val="false"/>
          <w:color w:val="2B2B2B"/>
          <w:sz w:val="22"/>
          <w:szCs w:val="22"/>
        </w:rPr>
        <w:t xml:space="preserve">Les manuscrits Aln’kaoua sont les seuls que le projet GMPL a déjà identifiés nominativement. Ils représentent l’héritage écrit de la lignée rabbinique d’Israël ben Joseph Aln’kaoua, martyr d’Écija (1391), et de ses descendants jusqu’à Tlemcen et Livourne.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200"/>
        <w:gridCol w:w="1900"/>
        <w:gridCol w:w="1860"/>
      </w:tblGrid>
      <w:tr>
        <w:trPr>
          <w:tblHeader/>
        </w:trPr>
        <w:tc>
          <w:tcPr>
            <w:tcW w:type="dxa" w:w="2400"/>
            <w:tcBorders>
              <w:top w:val="single" w:color="D4C5A9" w:sz="4"/>
              <w:left w:val="single" w:color="D4C5A9" w:sz="4"/>
              <w:bottom w:val="single" w:color="D4C5A9" w:sz="4"/>
              <w:right w:val="single" w:color="D4C5A9" w:sz="4"/>
            </w:tcBorders>
            <w:shd w:fill="1B2A4A" w:val="clear"/>
            <w:tcMar>
              <w:top w:type="dxa" w:w="100"/>
              <w:left w:type="dxa" w:w="140"/>
              <w:bottom w:type="dxa" w:w="100"/>
              <w:right w:type="dxa" w:w="140"/>
            </w:tcMar>
          </w:tcPr>
          <w:p>
            <w:pPr>
              <w:spacing w:after="0" w:before="0" w:line="280"/>
            </w:pPr>
            <w:r>
              <w:rPr>
                <w:rFonts w:ascii="Garamond" w:cs="Garamond" w:eastAsia="Garamond" w:hAnsi="Garamond"/>
                <w:b/>
                <w:bCs/>
                <w:i w:val="false"/>
                <w:iCs w:val="false"/>
                <w:color w:val="FFFFFF"/>
                <w:sz w:val="20"/>
                <w:szCs w:val="20"/>
              </w:rPr>
              <w:t xml:space="preserve">Cote (à vérifier)</w:t>
            </w:r>
          </w:p>
        </w:tc>
        <w:tc>
          <w:tcPr>
            <w:tcW w:type="dxa" w:w="3200"/>
            <w:tcBorders>
              <w:top w:val="single" w:color="D4C5A9" w:sz="4"/>
              <w:left w:val="single" w:color="D4C5A9" w:sz="4"/>
              <w:bottom w:val="single" w:color="D4C5A9" w:sz="4"/>
              <w:right w:val="single" w:color="D4C5A9" w:sz="4"/>
            </w:tcBorders>
            <w:shd w:fill="1B2A4A" w:val="clear"/>
            <w:tcMar>
              <w:top w:type="dxa" w:w="100"/>
              <w:left w:type="dxa" w:w="140"/>
              <w:bottom w:type="dxa" w:w="100"/>
              <w:right w:type="dxa" w:w="140"/>
            </w:tcMar>
          </w:tcPr>
          <w:p>
            <w:pPr>
              <w:spacing w:after="0" w:before="0" w:line="280"/>
            </w:pPr>
            <w:r>
              <w:rPr>
                <w:rFonts w:ascii="Garamond" w:cs="Garamond" w:eastAsia="Garamond" w:hAnsi="Garamond"/>
                <w:b/>
                <w:bCs/>
                <w:i w:val="false"/>
                <w:iCs w:val="false"/>
                <w:color w:val="FFFFFF"/>
                <w:sz w:val="20"/>
                <w:szCs w:val="20"/>
              </w:rPr>
              <w:t xml:space="preserve">Auteur</w:t>
            </w:r>
          </w:p>
        </w:tc>
        <w:tc>
          <w:tcPr>
            <w:tcW w:type="dxa" w:w="1900"/>
            <w:tcBorders>
              <w:top w:val="single" w:color="D4C5A9" w:sz="4"/>
              <w:left w:val="single" w:color="D4C5A9" w:sz="4"/>
              <w:bottom w:val="single" w:color="D4C5A9" w:sz="4"/>
              <w:right w:val="single" w:color="D4C5A9" w:sz="4"/>
            </w:tcBorders>
            <w:shd w:fill="1B2A4A" w:val="clear"/>
            <w:tcMar>
              <w:top w:type="dxa" w:w="100"/>
              <w:left w:type="dxa" w:w="140"/>
              <w:bottom w:type="dxa" w:w="100"/>
              <w:right w:type="dxa" w:w="140"/>
            </w:tcMar>
          </w:tcPr>
          <w:p>
            <w:pPr>
              <w:spacing w:after="0" w:before="0" w:line="280"/>
            </w:pPr>
            <w:r>
              <w:rPr>
                <w:rFonts w:ascii="Garamond" w:cs="Garamond" w:eastAsia="Garamond" w:hAnsi="Garamond"/>
                <w:b/>
                <w:bCs/>
                <w:i w:val="false"/>
                <w:iCs w:val="false"/>
                <w:color w:val="FFFFFF"/>
                <w:sz w:val="20"/>
                <w:szCs w:val="20"/>
              </w:rPr>
              <w:t xml:space="preserve">Œuvre</w:t>
            </w:r>
          </w:p>
        </w:tc>
        <w:tc>
          <w:tcPr>
            <w:tcW w:type="dxa" w:w="1860"/>
            <w:tcBorders>
              <w:top w:val="single" w:color="D4C5A9" w:sz="4"/>
              <w:left w:val="single" w:color="D4C5A9" w:sz="4"/>
              <w:bottom w:val="single" w:color="D4C5A9" w:sz="4"/>
              <w:right w:val="single" w:color="D4C5A9" w:sz="4"/>
            </w:tcBorders>
            <w:shd w:fill="1B2A4A" w:val="clear"/>
            <w:tcMar>
              <w:top w:type="dxa" w:w="100"/>
              <w:left w:type="dxa" w:w="140"/>
              <w:bottom w:type="dxa" w:w="100"/>
              <w:right w:type="dxa" w:w="140"/>
            </w:tcMar>
          </w:tcPr>
          <w:p>
            <w:pPr>
              <w:spacing w:after="0" w:before="0" w:line="280"/>
            </w:pPr>
            <w:r>
              <w:rPr>
                <w:rFonts w:ascii="Garamond" w:cs="Garamond" w:eastAsia="Garamond" w:hAnsi="Garamond"/>
                <w:b/>
                <w:bCs/>
                <w:i w:val="false"/>
                <w:iCs w:val="false"/>
                <w:color w:val="FFFFFF"/>
                <w:sz w:val="20"/>
                <w:szCs w:val="20"/>
              </w:rPr>
              <w:t xml:space="preserve">Datation</w:t>
            </w:r>
          </w:p>
        </w:tc>
      </w:tr>
      <w:tr>
        <w:tc>
          <w:tcPr>
            <w:tcW w:type="dxa" w:w="24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bCs/>
                <w:i w:val="false"/>
                <w:iCs w:val="false"/>
                <w:color w:val="2B2B2B"/>
                <w:sz w:val="21"/>
                <w:szCs w:val="21"/>
              </w:rPr>
              <w:t xml:space="preserve">MS 5447</w:t>
            </w:r>
          </w:p>
        </w:tc>
        <w:tc>
          <w:tcPr>
            <w:tcW w:type="dxa" w:w="32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Israël ben Joseph Aln’kaoua</w:t>
            </w:r>
          </w:p>
        </w:tc>
        <w:tc>
          <w:tcPr>
            <w:tcW w:type="dxa" w:w="19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iCs/>
                <w:color w:val="2B2B2B"/>
                <w:sz w:val="21"/>
                <w:szCs w:val="21"/>
              </w:rPr>
              <w:t xml:space="preserve">Menorat ha-Ma’or</w:t>
            </w:r>
          </w:p>
        </w:tc>
        <w:tc>
          <w:tcPr>
            <w:tcW w:type="dxa" w:w="186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XVᵉ siècle</w:t>
            </w:r>
          </w:p>
        </w:tc>
      </w:tr>
      <w:tr>
        <w:tc>
          <w:tcPr>
            <w:tcW w:type="dxa" w:w="240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bCs/>
                <w:i w:val="false"/>
                <w:iCs w:val="false"/>
                <w:color w:val="2B2B2B"/>
                <w:sz w:val="21"/>
                <w:szCs w:val="21"/>
              </w:rPr>
              <w:t xml:space="preserve">MS Hunt. 268</w:t>
            </w:r>
          </w:p>
        </w:tc>
        <w:tc>
          <w:tcPr>
            <w:tcW w:type="dxa" w:w="320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Israël Aln’kaoua (le petit-fils)</w:t>
            </w:r>
          </w:p>
        </w:tc>
        <w:tc>
          <w:tcPr>
            <w:tcW w:type="dxa" w:w="190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val="false"/>
                <w:bCs w:val="false"/>
                <w:i/>
                <w:iCs/>
                <w:color w:val="2B2B2B"/>
                <w:sz w:val="21"/>
                <w:szCs w:val="21"/>
              </w:rPr>
              <w:t xml:space="preserve">Menorat ha-Ma’or (copie)</w:t>
            </w:r>
          </w:p>
        </w:tc>
        <w:tc>
          <w:tcPr>
            <w:tcW w:type="dxa" w:w="186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fin XVᵉ / XVIᵉ s.</w:t>
            </w:r>
          </w:p>
        </w:tc>
      </w:tr>
      <w:tr>
        <w:tc>
          <w:tcPr>
            <w:tcW w:type="dxa" w:w="24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bCs/>
                <w:i w:val="false"/>
                <w:iCs w:val="false"/>
                <w:color w:val="2B2B2B"/>
                <w:sz w:val="21"/>
                <w:szCs w:val="21"/>
              </w:rPr>
              <w:t xml:space="preserve">Neubauer 939,2</w:t>
            </w:r>
          </w:p>
        </w:tc>
        <w:tc>
          <w:tcPr>
            <w:tcW w:type="dxa" w:w="32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Ephraïm Aln’kaoua</w:t>
            </w:r>
          </w:p>
        </w:tc>
        <w:tc>
          <w:tcPr>
            <w:tcW w:type="dxa" w:w="19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iCs/>
                <w:color w:val="2B2B2B"/>
                <w:sz w:val="21"/>
                <w:szCs w:val="21"/>
              </w:rPr>
              <w:t xml:space="preserve">Sha’ar Kevod Hashem</w:t>
            </w:r>
          </w:p>
        </w:tc>
        <w:tc>
          <w:tcPr>
            <w:tcW w:type="dxa" w:w="186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XVᵉ siècle</w:t>
            </w:r>
          </w:p>
        </w:tc>
      </w:tr>
      <w:tr>
        <w:tc>
          <w:tcPr>
            <w:tcW w:type="dxa" w:w="240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bCs/>
                <w:i w:val="false"/>
                <w:iCs w:val="false"/>
                <w:color w:val="2B2B2B"/>
                <w:sz w:val="21"/>
                <w:szCs w:val="21"/>
              </w:rPr>
              <w:t xml:space="preserve">Neubauer 1258,2</w:t>
            </w:r>
          </w:p>
        </w:tc>
        <w:tc>
          <w:tcPr>
            <w:tcW w:type="dxa" w:w="320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Ephraïm Aln’kaoua</w:t>
            </w:r>
          </w:p>
        </w:tc>
        <w:tc>
          <w:tcPr>
            <w:tcW w:type="dxa" w:w="190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val="false"/>
                <w:bCs w:val="false"/>
                <w:i/>
                <w:iCs/>
                <w:color w:val="2B2B2B"/>
                <w:sz w:val="21"/>
                <w:szCs w:val="21"/>
              </w:rPr>
              <w:t xml:space="preserve">Sha’ar Kevod Hashem (autre copie)</w:t>
            </w:r>
          </w:p>
        </w:tc>
        <w:tc>
          <w:tcPr>
            <w:tcW w:type="dxa" w:w="186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XVᵉ siècle</w:t>
            </w:r>
          </w:p>
        </w:tc>
      </w:tr>
      <w:tr>
        <w:tc>
          <w:tcPr>
            <w:tcW w:type="dxa" w:w="24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iCs/>
                <w:color w:val="8A8A8A"/>
                <w:sz w:val="21"/>
                <w:szCs w:val="21"/>
              </w:rPr>
              <w:t xml:space="preserve">À vérifier</w:t>
            </w:r>
          </w:p>
        </w:tc>
        <w:tc>
          <w:tcPr>
            <w:tcW w:type="dxa" w:w="32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Yehuda Aln’kaoua</w:t>
            </w:r>
          </w:p>
        </w:tc>
        <w:tc>
          <w:tcPr>
            <w:tcW w:type="dxa" w:w="19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iCs/>
                <w:color w:val="2B2B2B"/>
                <w:sz w:val="21"/>
                <w:szCs w:val="21"/>
              </w:rPr>
              <w:t xml:space="preserve">Sha’ar Kevod Adonai</w:t>
            </w:r>
          </w:p>
        </w:tc>
        <w:tc>
          <w:tcPr>
            <w:tcW w:type="dxa" w:w="186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XVᵉ-XVIᵉ s.</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722F37" w:sz="18"/>
              <w:left w:val="single" w:color="722F37" w:sz="4"/>
              <w:bottom w:val="single" w:color="722F37" w:sz="4"/>
              <w:right w:val="single" w:color="722F37" w:sz="4"/>
            </w:tcBorders>
            <w:shd w:fill="E5D9BF" w:val="clear"/>
            <w:tcMar>
              <w:top w:type="dxa" w:w="200"/>
              <w:left w:type="dxa" w:w="240"/>
              <w:bottom w:type="dxa" w:w="200"/>
              <w:right w:type="dxa" w:w="240"/>
            </w:tcMar>
          </w:tcPr>
          <w:p>
            <w:pPr>
              <w:spacing w:after="100" w:before="0"/>
            </w:pPr>
            <w:r>
              <w:rPr>
                <w:rFonts w:ascii="Garamond" w:cs="Garamond" w:eastAsia="Garamond" w:hAnsi="Garamond"/>
                <w:b/>
                <w:bCs/>
                <w:caps/>
                <w:color w:val="722F37"/>
                <w:sz w:val="22"/>
                <w:szCs w:val="22"/>
              </w:rPr>
              <w:t xml:space="preserve">Note critique sur les cotes données par Didier Nebot</w:t>
            </w:r>
          </w:p>
          <w:p>
            <w:pPr>
              <w:spacing w:after="0" w:before="0" w:line="300"/>
            </w:pPr>
            <w:r>
              <w:rPr>
                <w:rFonts w:ascii="Garamond" w:cs="Garamond" w:eastAsia="Garamond" w:hAnsi="Garamond"/>
                <w:color w:val="2B2B2B"/>
                <w:sz w:val="22"/>
                <w:szCs w:val="22"/>
              </w:rPr>
              <w:t xml:space="preserve">Les références « MS 5447 » et « MS Hunt. 268 » méritent vérification. Le numéro 5447 ne correspond ni à une cote MSS. Opp. Add. (qui s’arrête à ~194 pour le format quarto), ni à un numéro de Neubauer (qui plafonne à ~2600). Quant à MS Huntington 268, la collection Huntington a été acquise par la Bodleian dès 1693 (legs Robert Huntington, évêque de Raphoe) — bien avant Luzzatto. Si MS Hunt. 268 contient une copie Aln’kaoua, son chemin jusqu’à Oxford n’est probablement pas passé par Luzzatto. Ce point est important : il devra être éclairci sur place avec César Merchan-Hamann.</w:t>
            </w:r>
          </w:p>
        </w:tc>
      </w:tr>
    </w:tbl>
    <w:p>
      <w:pPr>
        <w:spacing w:after="120" w:before="80" w:line="320"/>
      </w:pPr>
      <w:r>
        <w:rPr>
          <w:rFonts w:ascii="Garamond" w:cs="Garamond" w:eastAsia="Garamond" w:hAnsi="Garamond"/>
          <w:b w:val="false"/>
          <w:bCs w:val="false"/>
          <w:i/>
          <w:iCs/>
          <w:color w:val="5A5A5A"/>
          <w:sz w:val="22"/>
          <w:szCs w:val="22"/>
        </w:rPr>
        <w:t xml:space="preserve">À noter : un quatrième manuscrit Aln’kaoua, le MS Huntington 140 (version révisée du Menorat ha-Ma’or par le petit-fils), n’est pas à la Bodleian mais à la Huntington Library de Californie. Il sort donc du périmètre de ce document, mais doit être suivi par le groupe Aln’kaoua.</w:t>
      </w:r>
    </w:p>
    <w:p>
      <w:r>
        <w:br w:type="page"/>
      </w:r>
    </w:p>
    <w:p>
      <w:pPr>
        <w:pStyle w:val="Heading1"/>
        <w:pBdr>
          <w:bottom w:val="single" w:color="B8860B" w:sz="12" w:space="6"/>
        </w:pBdr>
        <w:spacing w:after="200" w:before="360"/>
      </w:pPr>
      <w:r>
        <w:rPr>
          <w:rFonts w:ascii="Garamond" w:cs="Garamond" w:eastAsia="Garamond" w:hAnsi="Garamond"/>
          <w:b/>
          <w:bCs/>
          <w:color w:val="1B2A4A"/>
          <w:sz w:val="36"/>
          <w:szCs w:val="36"/>
        </w:rPr>
        <w:t xml:space="preserve">4.  Typologie d’ensemble</w:t>
      </w:r>
    </w:p>
    <w:p>
      <w:pPr>
        <w:spacing w:after="120" w:before="80" w:line="320"/>
      </w:pPr>
      <w:r>
        <w:rPr>
          <w:rFonts w:ascii="Garamond" w:cs="Garamond" w:eastAsia="Garamond" w:hAnsi="Garamond"/>
          <w:b w:val="false"/>
          <w:bCs w:val="false"/>
          <w:i w:val="false"/>
          <w:iCs w:val="false"/>
          <w:color w:val="2B2B2B"/>
          <w:sz w:val="22"/>
          <w:szCs w:val="22"/>
        </w:rPr>
        <w:t xml:space="preserve">La présentation par lots de 50 manuscrits proposée par Didier Nebot dans </w:t>
      </w:r>
      <w:r>
        <w:rPr>
          <w:rFonts w:ascii="Garamond" w:cs="Garamond" w:eastAsia="Garamond" w:hAnsi="Garamond"/>
          <w:b w:val="false"/>
          <w:bCs w:val="false"/>
          <w:i/>
          <w:iCs/>
          <w:color w:val="2B2B2B"/>
          <w:sz w:val="22"/>
          <w:szCs w:val="22"/>
        </w:rPr>
        <w:t xml:space="preserve">Le Manuscrit sacré</w:t>
      </w:r>
      <w:r>
        <w:rPr>
          <w:rFonts w:ascii="Garamond" w:cs="Garamond" w:eastAsia="Garamond" w:hAnsi="Garamond"/>
          <w:b w:val="false"/>
          <w:bCs w:val="false"/>
          <w:i w:val="false"/>
          <w:iCs w:val="false"/>
          <w:color w:val="2B2B2B"/>
          <w:sz w:val="22"/>
          <w:szCs w:val="22"/>
        </w:rPr>
        <w:t xml:space="preserve"> (p. 249-251) est explicitement décrite par l’auteur lui-même comme </w:t>
      </w:r>
      <w:r>
        <w:rPr>
          <w:rFonts w:ascii="Garamond" w:cs="Garamond" w:eastAsia="Garamond" w:hAnsi="Garamond"/>
          <w:b w:val="false"/>
          <w:bCs w:val="false"/>
          <w:i/>
          <w:iCs/>
          <w:color w:val="2B2B2B"/>
          <w:sz w:val="22"/>
          <w:szCs w:val="22"/>
        </w:rPr>
        <w:t xml:space="preserve">« une typologie représentative, une reconstitution plausible, et non un inventaire officiel »</w:t>
      </w:r>
      <w:r>
        <w:rPr>
          <w:rFonts w:ascii="Garamond" w:cs="Garamond" w:eastAsia="Garamond" w:hAnsi="Garamond"/>
          <w:b w:val="false"/>
          <w:bCs w:val="false"/>
          <w:i w:val="false"/>
          <w:iCs w:val="false"/>
          <w:color w:val="2B2B2B"/>
          <w:sz w:val="22"/>
          <w:szCs w:val="22"/>
        </w:rPr>
        <w:t xml:space="preserve">. Elle ne fournit pas de cotes Bodleian réelles, mais donne un panorama pédagogique des grandes catégories du fonds.</w:t>
      </w:r>
    </w:p>
    <w:p>
      <w:pPr>
        <w:spacing w:after="120" w:before="80" w:line="320"/>
      </w:pPr>
      <w:r>
        <w:rPr>
          <w:rFonts w:ascii="Garamond" w:cs="Garamond" w:eastAsia="Garamond" w:hAnsi="Garamond"/>
          <w:b w:val="false"/>
          <w:bCs w:val="false"/>
          <w:i w:val="false"/>
          <w:iCs w:val="false"/>
          <w:color w:val="2B2B2B"/>
          <w:sz w:val="22"/>
          <w:szCs w:val="22"/>
        </w:rPr>
        <w:t xml:space="preserve">Sa valeur est d’ordre indicatif : elle nous dit ce que l’on peut s’attendre à trouver dans le Fonds Luzzatto. Elle est reproduite ici à titre de cadre de classement pour le travail futur.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700"/>
        <w:gridCol w:w="4260"/>
      </w:tblGrid>
      <w:tr>
        <w:trPr>
          <w:tblHeader/>
        </w:trPr>
        <w:tc>
          <w:tcPr>
            <w:tcW w:type="dxa" w:w="1400"/>
            <w:tcBorders>
              <w:top w:val="single" w:color="D4C5A9" w:sz="4"/>
              <w:left w:val="single" w:color="D4C5A9" w:sz="4"/>
              <w:bottom w:val="single" w:color="D4C5A9" w:sz="4"/>
              <w:right w:val="single" w:color="D4C5A9" w:sz="4"/>
            </w:tcBorders>
            <w:shd w:fill="1B2A4A" w:val="clear"/>
            <w:tcMar>
              <w:top w:type="dxa" w:w="100"/>
              <w:left w:type="dxa" w:w="140"/>
              <w:bottom w:type="dxa" w:w="100"/>
              <w:right w:type="dxa" w:w="140"/>
            </w:tcMar>
          </w:tcPr>
          <w:p>
            <w:pPr>
              <w:spacing w:after="0" w:before="0" w:line="280"/>
            </w:pPr>
            <w:r>
              <w:rPr>
                <w:rFonts w:ascii="Garamond" w:cs="Garamond" w:eastAsia="Garamond" w:hAnsi="Garamond"/>
                <w:b/>
                <w:bCs/>
                <w:i w:val="false"/>
                <w:iCs w:val="false"/>
                <w:color w:val="FFFFFF"/>
                <w:sz w:val="20"/>
                <w:szCs w:val="20"/>
              </w:rPr>
              <w:t xml:space="preserve">Lot indic.</w:t>
            </w:r>
          </w:p>
        </w:tc>
        <w:tc>
          <w:tcPr>
            <w:tcW w:type="dxa" w:w="3700"/>
            <w:tcBorders>
              <w:top w:val="single" w:color="D4C5A9" w:sz="4"/>
              <w:left w:val="single" w:color="D4C5A9" w:sz="4"/>
              <w:bottom w:val="single" w:color="D4C5A9" w:sz="4"/>
              <w:right w:val="single" w:color="D4C5A9" w:sz="4"/>
            </w:tcBorders>
            <w:shd w:fill="1B2A4A" w:val="clear"/>
            <w:tcMar>
              <w:top w:type="dxa" w:w="100"/>
              <w:left w:type="dxa" w:w="140"/>
              <w:bottom w:type="dxa" w:w="100"/>
              <w:right w:type="dxa" w:w="140"/>
            </w:tcMar>
          </w:tcPr>
          <w:p>
            <w:pPr>
              <w:spacing w:after="0" w:before="0" w:line="280"/>
            </w:pPr>
            <w:r>
              <w:rPr>
                <w:rFonts w:ascii="Garamond" w:cs="Garamond" w:eastAsia="Garamond" w:hAnsi="Garamond"/>
                <w:b/>
                <w:bCs/>
                <w:i w:val="false"/>
                <w:iCs w:val="false"/>
                <w:color w:val="FFFFFF"/>
                <w:sz w:val="20"/>
                <w:szCs w:val="20"/>
              </w:rPr>
              <w:t xml:space="preserve">Type de documents</w:t>
            </w:r>
          </w:p>
        </w:tc>
        <w:tc>
          <w:tcPr>
            <w:tcW w:type="dxa" w:w="4260"/>
            <w:tcBorders>
              <w:top w:val="single" w:color="D4C5A9" w:sz="4"/>
              <w:left w:val="single" w:color="D4C5A9" w:sz="4"/>
              <w:bottom w:val="single" w:color="D4C5A9" w:sz="4"/>
              <w:right w:val="single" w:color="D4C5A9" w:sz="4"/>
            </w:tcBorders>
            <w:shd w:fill="1B2A4A" w:val="clear"/>
            <w:tcMar>
              <w:top w:type="dxa" w:w="100"/>
              <w:left w:type="dxa" w:w="140"/>
              <w:bottom w:type="dxa" w:w="100"/>
              <w:right w:type="dxa" w:w="140"/>
            </w:tcMar>
          </w:tcPr>
          <w:p>
            <w:pPr>
              <w:spacing w:after="0" w:before="0" w:line="280"/>
            </w:pPr>
            <w:r>
              <w:rPr>
                <w:rFonts w:ascii="Garamond" w:cs="Garamond" w:eastAsia="Garamond" w:hAnsi="Garamond"/>
                <w:b/>
                <w:bCs/>
                <w:i w:val="false"/>
                <w:iCs w:val="false"/>
                <w:color w:val="FFFFFF"/>
                <w:sz w:val="20"/>
                <w:szCs w:val="20"/>
              </w:rPr>
              <w:t xml:space="preserve">Provenances principales</w:t>
            </w:r>
          </w:p>
        </w:tc>
      </w:tr>
      <w:tr>
        <w:tc>
          <w:tcPr>
            <w:tcW w:type="dxa" w:w="14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bCs/>
                <w:i w:val="false"/>
                <w:iCs w:val="false"/>
                <w:color w:val="2B2B2B"/>
                <w:sz w:val="21"/>
                <w:szCs w:val="21"/>
              </w:rPr>
              <w:t xml:space="preserve">1-50</w:t>
            </w:r>
          </w:p>
        </w:tc>
        <w:tc>
          <w:tcPr>
            <w:tcW w:type="dxa" w:w="37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Rouleaux de Torah et codices</w:t>
            </w:r>
          </w:p>
        </w:tc>
        <w:tc>
          <w:tcPr>
            <w:tcW w:type="dxa" w:w="426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iCs/>
                <w:color w:val="2B2B2B"/>
                <w:sz w:val="21"/>
                <w:szCs w:val="21"/>
              </w:rPr>
              <w:t xml:space="preserve">Padoue, Mantoue, Venise, Rome</w:t>
            </w:r>
          </w:p>
        </w:tc>
      </w:tr>
      <w:tr>
        <w:tc>
          <w:tcPr>
            <w:tcW w:type="dxa" w:w="140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bCs/>
                <w:i w:val="false"/>
                <w:iCs w:val="false"/>
                <w:color w:val="2B2B2B"/>
                <w:sz w:val="21"/>
                <w:szCs w:val="21"/>
              </w:rPr>
              <w:t xml:space="preserve">51-100</w:t>
            </w:r>
          </w:p>
        </w:tc>
        <w:tc>
          <w:tcPr>
            <w:tcW w:type="dxa" w:w="370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Commentaires talmudiques</w:t>
            </w:r>
          </w:p>
        </w:tc>
        <w:tc>
          <w:tcPr>
            <w:tcW w:type="dxa" w:w="426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val="false"/>
                <w:bCs w:val="false"/>
                <w:i/>
                <w:iCs/>
                <w:color w:val="2B2B2B"/>
                <w:sz w:val="21"/>
                <w:szCs w:val="21"/>
              </w:rPr>
              <w:t xml:space="preserve">Rome, Livourne, Maghreb séfarade</w:t>
            </w:r>
          </w:p>
        </w:tc>
      </w:tr>
      <w:tr>
        <w:tc>
          <w:tcPr>
            <w:tcW w:type="dxa" w:w="14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bCs/>
                <w:i w:val="false"/>
                <w:iCs w:val="false"/>
                <w:color w:val="2B2B2B"/>
                <w:sz w:val="21"/>
                <w:szCs w:val="21"/>
              </w:rPr>
              <w:t xml:space="preserve">101-150</w:t>
            </w:r>
          </w:p>
        </w:tc>
        <w:tc>
          <w:tcPr>
            <w:tcW w:type="dxa" w:w="37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Livres de prières et piyutim</w:t>
            </w:r>
          </w:p>
        </w:tc>
        <w:tc>
          <w:tcPr>
            <w:tcW w:type="dxa" w:w="426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iCs/>
                <w:color w:val="2B2B2B"/>
                <w:sz w:val="21"/>
                <w:szCs w:val="21"/>
              </w:rPr>
              <w:t xml:space="preserve">Tlemcen, Provence, sud de la France</w:t>
            </w:r>
          </w:p>
        </w:tc>
      </w:tr>
      <w:tr>
        <w:tc>
          <w:tcPr>
            <w:tcW w:type="dxa" w:w="140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bCs/>
                <w:i w:val="false"/>
                <w:iCs w:val="false"/>
                <w:color w:val="2B2B2B"/>
                <w:sz w:val="21"/>
                <w:szCs w:val="21"/>
              </w:rPr>
              <w:t xml:space="preserve">151-200</w:t>
            </w:r>
          </w:p>
        </w:tc>
        <w:tc>
          <w:tcPr>
            <w:tcW w:type="dxa" w:w="370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Chroniques communautaires</w:t>
            </w:r>
          </w:p>
        </w:tc>
        <w:tc>
          <w:tcPr>
            <w:tcW w:type="dxa" w:w="426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val="false"/>
                <w:bCs w:val="false"/>
                <w:i/>
                <w:iCs/>
                <w:color w:val="2B2B2B"/>
                <w:sz w:val="21"/>
                <w:szCs w:val="21"/>
              </w:rPr>
              <w:t xml:space="preserve">Salonique, Istanbul, Bohême, Pologne, Hongrie</w:t>
            </w:r>
          </w:p>
        </w:tc>
      </w:tr>
      <w:tr>
        <w:tc>
          <w:tcPr>
            <w:tcW w:type="dxa" w:w="14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bCs/>
                <w:i w:val="false"/>
                <w:iCs w:val="false"/>
                <w:color w:val="2B2B2B"/>
                <w:sz w:val="21"/>
                <w:szCs w:val="21"/>
              </w:rPr>
              <w:t xml:space="preserve">201-250</w:t>
            </w:r>
          </w:p>
        </w:tc>
        <w:tc>
          <w:tcPr>
            <w:tcW w:type="dxa" w:w="37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Responsa et correspondances</w:t>
            </w:r>
          </w:p>
        </w:tc>
        <w:tc>
          <w:tcPr>
            <w:tcW w:type="dxa" w:w="426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iCs/>
                <w:color w:val="2B2B2B"/>
                <w:sz w:val="21"/>
                <w:szCs w:val="21"/>
              </w:rPr>
              <w:t xml:space="preserve">Rome, Livourne, Pologne, Allemagne, Lituanie</w:t>
            </w:r>
          </w:p>
        </w:tc>
      </w:tr>
      <w:tr>
        <w:tc>
          <w:tcPr>
            <w:tcW w:type="dxa" w:w="140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bCs/>
                <w:i w:val="false"/>
                <w:iCs w:val="false"/>
                <w:color w:val="2B2B2B"/>
                <w:sz w:val="21"/>
                <w:szCs w:val="21"/>
              </w:rPr>
              <w:t xml:space="preserve">251-300</w:t>
            </w:r>
          </w:p>
        </w:tc>
        <w:tc>
          <w:tcPr>
            <w:tcW w:type="dxa" w:w="370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Codices de Torah yéménites</w:t>
            </w:r>
          </w:p>
        </w:tc>
        <w:tc>
          <w:tcPr>
            <w:tcW w:type="dxa" w:w="426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val="false"/>
                <w:bCs w:val="false"/>
                <w:i/>
                <w:iCs/>
                <w:color w:val="2B2B2B"/>
                <w:sz w:val="21"/>
                <w:szCs w:val="21"/>
              </w:rPr>
              <w:t xml:space="preserve">Yémen</w:t>
            </w:r>
          </w:p>
        </w:tc>
      </w:tr>
      <w:tr>
        <w:tc>
          <w:tcPr>
            <w:tcW w:type="dxa" w:w="14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bCs/>
                <w:i w:val="false"/>
                <w:iCs w:val="false"/>
                <w:color w:val="2B2B2B"/>
                <w:sz w:val="21"/>
                <w:szCs w:val="21"/>
              </w:rPr>
              <w:t xml:space="preserve">301-350</w:t>
            </w:r>
          </w:p>
        </w:tc>
        <w:tc>
          <w:tcPr>
            <w:tcW w:type="dxa" w:w="37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Livres de prières et piyutim (autres)</w:t>
            </w:r>
          </w:p>
        </w:tc>
        <w:tc>
          <w:tcPr>
            <w:tcW w:type="dxa" w:w="426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iCs/>
                <w:color w:val="2B2B2B"/>
                <w:sz w:val="21"/>
                <w:szCs w:val="21"/>
              </w:rPr>
              <w:t xml:space="preserve">Tlemcen, Provence, Autriche, Hongrie, Roumanie</w:t>
            </w:r>
          </w:p>
        </w:tc>
      </w:tr>
      <w:tr>
        <w:tc>
          <w:tcPr>
            <w:tcW w:type="dxa" w:w="140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bCs/>
                <w:i w:val="false"/>
                <w:iCs w:val="false"/>
                <w:color w:val="2B2B2B"/>
                <w:sz w:val="21"/>
                <w:szCs w:val="21"/>
              </w:rPr>
              <w:t xml:space="preserve">351-400</w:t>
            </w:r>
          </w:p>
        </w:tc>
        <w:tc>
          <w:tcPr>
            <w:tcW w:type="dxa" w:w="370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Chroniques et notes locales</w:t>
            </w:r>
          </w:p>
        </w:tc>
        <w:tc>
          <w:tcPr>
            <w:tcW w:type="dxa" w:w="426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val="false"/>
                <w:bCs w:val="false"/>
                <w:i/>
                <w:iCs/>
                <w:color w:val="2B2B2B"/>
                <w:sz w:val="21"/>
                <w:szCs w:val="21"/>
              </w:rPr>
              <w:t xml:space="preserve">Bohême, Moravie, Pologne, Lituanie</w:t>
            </w:r>
          </w:p>
        </w:tc>
      </w:tr>
      <w:tr>
        <w:tc>
          <w:tcPr>
            <w:tcW w:type="dxa" w:w="14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bCs/>
                <w:i w:val="false"/>
                <w:iCs w:val="false"/>
                <w:color w:val="2B2B2B"/>
                <w:sz w:val="21"/>
                <w:szCs w:val="21"/>
              </w:rPr>
              <w:t xml:space="preserve">401-450</w:t>
            </w:r>
          </w:p>
        </w:tc>
        <w:tc>
          <w:tcPr>
            <w:tcW w:type="dxa" w:w="370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Commentaires bibliques</w:t>
            </w:r>
          </w:p>
        </w:tc>
        <w:tc>
          <w:tcPr>
            <w:tcW w:type="dxa" w:w="4260"/>
            <w:tcBorders>
              <w:top w:val="single" w:color="D4C5A9" w:sz="4"/>
              <w:left w:val="single" w:color="D4C5A9" w:sz="4"/>
              <w:bottom w:val="single" w:color="D4C5A9" w:sz="4"/>
              <w:right w:val="single" w:color="D4C5A9" w:sz="4"/>
            </w:tcBorders>
            <w:tcMar>
              <w:top w:type="dxa" w:w="100"/>
              <w:left w:type="dxa" w:w="140"/>
              <w:bottom w:type="dxa" w:w="100"/>
              <w:right w:type="dxa" w:w="140"/>
            </w:tcMar>
          </w:tcPr>
          <w:p>
            <w:pPr>
              <w:spacing w:after="0" w:before="0" w:line="280"/>
            </w:pPr>
            <w:r>
              <w:rPr>
                <w:rFonts w:ascii="Garamond" w:cs="Garamond" w:eastAsia="Garamond" w:hAnsi="Garamond"/>
                <w:b w:val="false"/>
                <w:bCs w:val="false"/>
                <w:i/>
                <w:iCs/>
                <w:color w:val="2B2B2B"/>
                <w:sz w:val="21"/>
                <w:szCs w:val="21"/>
              </w:rPr>
              <w:t xml:space="preserve">Pologne, Russie, Allemagne, Italie, Espagne</w:t>
            </w:r>
          </w:p>
        </w:tc>
      </w:tr>
      <w:tr>
        <w:tc>
          <w:tcPr>
            <w:tcW w:type="dxa" w:w="140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bCs/>
                <w:i w:val="false"/>
                <w:iCs w:val="false"/>
                <w:color w:val="2B2B2B"/>
                <w:sz w:val="21"/>
                <w:szCs w:val="21"/>
              </w:rPr>
              <w:t xml:space="preserve">451-500</w:t>
            </w:r>
          </w:p>
        </w:tc>
        <w:tc>
          <w:tcPr>
            <w:tcW w:type="dxa" w:w="370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val="false"/>
                <w:bCs w:val="false"/>
                <w:i w:val="false"/>
                <w:iCs w:val="false"/>
                <w:color w:val="2B2B2B"/>
                <w:sz w:val="21"/>
                <w:szCs w:val="21"/>
              </w:rPr>
              <w:t xml:space="preserve">Miscellanées</w:t>
            </w:r>
          </w:p>
        </w:tc>
        <w:tc>
          <w:tcPr>
            <w:tcW w:type="dxa" w:w="4260"/>
            <w:tcBorders>
              <w:top w:val="single" w:color="D4C5A9" w:sz="4"/>
              <w:left w:val="single" w:color="D4C5A9" w:sz="4"/>
              <w:bottom w:val="single" w:color="D4C5A9" w:sz="4"/>
              <w:right w:val="single" w:color="D4C5A9" w:sz="4"/>
            </w:tcBorders>
            <w:shd w:fill="EDE5D5" w:val="clear"/>
            <w:tcMar>
              <w:top w:type="dxa" w:w="100"/>
              <w:left w:type="dxa" w:w="140"/>
              <w:bottom w:type="dxa" w:w="100"/>
              <w:right w:type="dxa" w:w="140"/>
            </w:tcMar>
          </w:tcPr>
          <w:p>
            <w:pPr>
              <w:spacing w:after="0" w:before="0" w:line="280"/>
            </w:pPr>
            <w:r>
              <w:rPr>
                <w:rFonts w:ascii="Garamond" w:cs="Garamond" w:eastAsia="Garamond" w:hAnsi="Garamond"/>
                <w:b w:val="false"/>
                <w:bCs w:val="false"/>
                <w:i/>
                <w:iCs/>
                <w:color w:val="2B2B2B"/>
                <w:sz w:val="21"/>
                <w:szCs w:val="21"/>
              </w:rPr>
              <w:t xml:space="preserve">Italie, Espagne, France, Allemagne, Proche-Orient</w:t>
            </w:r>
          </w:p>
        </w:tc>
      </w:tr>
    </w:tbl>
    <w:p>
      <w:r>
        <w:br w:type="page"/>
      </w:r>
    </w:p>
    <w:p>
      <w:pPr>
        <w:pStyle w:val="Heading1"/>
        <w:pBdr>
          <w:bottom w:val="single" w:color="B8860B" w:sz="12" w:space="6"/>
        </w:pBdr>
        <w:spacing w:after="200" w:before="360"/>
      </w:pPr>
      <w:r>
        <w:rPr>
          <w:rFonts w:ascii="Garamond" w:cs="Garamond" w:eastAsia="Garamond" w:hAnsi="Garamond"/>
          <w:b/>
          <w:bCs/>
          <w:color w:val="1B2A4A"/>
          <w:sz w:val="36"/>
          <w:szCs w:val="36"/>
        </w:rPr>
        <w:t xml:space="preserve">5.  Méthodologie pour la liste exhaustive</w:t>
      </w:r>
    </w:p>
    <w:p>
      <w:pPr>
        <w:spacing w:after="120" w:before="80" w:line="320"/>
      </w:pPr>
      <w:r>
        <w:rPr>
          <w:rFonts w:ascii="Garamond" w:cs="Garamond" w:eastAsia="Garamond" w:hAnsi="Garamond"/>
          <w:b w:val="false"/>
          <w:bCs w:val="false"/>
          <w:i w:val="false"/>
          <w:iCs w:val="false"/>
          <w:color w:val="2B2B2B"/>
          <w:sz w:val="22"/>
          <w:szCs w:val="22"/>
        </w:rPr>
        <w:t xml:space="preserve">Voici comment le groupe Oxford peut, étape par étape, reconstituer la liste complète et fiable des cotes Luzzatto.</w:t>
      </w:r>
    </w:p>
    <w:p>
      <w:pPr>
        <w:pStyle w:val="Heading2"/>
        <w:spacing w:after="140" w:before="280"/>
      </w:pPr>
      <w:r>
        <w:rPr>
          <w:rFonts w:ascii="Garamond" w:cs="Garamond" w:eastAsia="Garamond" w:hAnsi="Garamond"/>
          <w:b/>
          <w:bCs/>
          <w:color w:val="1B2A4A"/>
          <w:sz w:val="28"/>
          <w:szCs w:val="28"/>
        </w:rPr>
        <w:t xml:space="preserve">Étape 1 — Le tri systématique dans Neubauer 1886</w:t>
      </w:r>
    </w:p>
    <w:p>
      <w:pPr>
        <w:spacing w:after="120" w:before="80" w:line="320"/>
      </w:pPr>
      <w:r>
        <w:rPr>
          <w:rFonts w:ascii="Garamond" w:cs="Garamond" w:eastAsia="Garamond" w:hAnsi="Garamond"/>
          <w:b w:val="false"/>
          <w:bCs w:val="false"/>
          <w:i w:val="false"/>
          <w:iCs w:val="false"/>
          <w:color w:val="2B2B2B"/>
          <w:sz w:val="22"/>
          <w:szCs w:val="22"/>
        </w:rPr>
        <w:t xml:space="preserve">Le Catalogue de Neubauer (1886, vol. 1) compte environ 600 pages et 2 600 notices. Il est en accès libre, intégralement OCRisé, sur Internet Archive.</w:t>
      </w:r>
    </w:p>
    <w:p>
      <w:pPr>
        <w:spacing w:after="120" w:before="80" w:line="320"/>
      </w:pPr>
      <w:r>
        <w:rPr>
          <w:rFonts w:ascii="Garamond" w:cs="Garamond" w:eastAsia="Garamond" w:hAnsi="Garamond"/>
          <w:b w:val="false"/>
          <w:bCs w:val="false"/>
          <w:i w:val="false"/>
          <w:iCs w:val="false"/>
          <w:color w:val="2B2B2B"/>
          <w:sz w:val="22"/>
          <w:szCs w:val="22"/>
        </w:rPr>
        <w:t xml:space="preserve">Lien direct : </w:t>
      </w:r>
      <w:r>
        <w:rPr>
          <w:rFonts w:ascii="Garamond" w:cs="Garamond" w:eastAsia="Garamond" w:hAnsi="Garamond"/>
          <w:b w:val="false"/>
          <w:bCs w:val="false"/>
          <w:i/>
          <w:iCs/>
          <w:color w:val="1B2A4A"/>
          <w:sz w:val="22"/>
          <w:szCs w:val="22"/>
        </w:rPr>
        <w:t xml:space="preserve">archive.org/details/catalogueofthehebrewmanuscripts</w:t>
      </w:r>
    </w:p>
    <w:p>
      <w:pPr>
        <w:spacing w:after="120" w:before="80" w:line="320"/>
      </w:pPr>
      <w:r>
        <w:rPr>
          <w:rFonts w:ascii="Garamond" w:cs="Garamond" w:eastAsia="Garamond" w:hAnsi="Garamond"/>
          <w:b w:val="false"/>
          <w:bCs w:val="false"/>
          <w:i w:val="false"/>
          <w:iCs w:val="false"/>
          <w:color w:val="2B2B2B"/>
          <w:sz w:val="22"/>
          <w:szCs w:val="22"/>
        </w:rPr>
        <w:t xml:space="preserve">Méthode : télécharger le PDF, ouvrir un moteur de recherche dans Adobe Acrobat ou un éditeur, et lancer une recherche sur les chaînes :</w:t>
      </w:r>
    </w:p>
    <w:p>
      <w:pPr>
        <w:pStyle w:val="ListParagraph"/>
        <w:numPr>
          <w:ilvl w:val="0"/>
          <w:numId w:val="2"/>
        </w:numPr>
        <w:spacing w:after="60" w:before="60" w:line="300"/>
      </w:pPr>
      <w:r>
        <w:rPr>
          <w:rFonts w:ascii="Garamond" w:cs="Garamond" w:eastAsia="Garamond" w:hAnsi="Garamond"/>
          <w:b w:val="false"/>
          <w:bCs w:val="false"/>
          <w:i w:val="false"/>
          <w:iCs w:val="false"/>
          <w:color w:val="2B2B2B"/>
          <w:sz w:val="22"/>
          <w:szCs w:val="22"/>
        </w:rPr>
        <w:t xml:space="preserve">« Luzzatto »</w:t>
      </w:r>
    </w:p>
    <w:p>
      <w:pPr>
        <w:pStyle w:val="ListParagraph"/>
        <w:numPr>
          <w:ilvl w:val="0"/>
          <w:numId w:val="2"/>
        </w:numPr>
        <w:spacing w:after="60" w:before="60" w:line="300"/>
      </w:pPr>
      <w:r>
        <w:rPr>
          <w:rFonts w:ascii="Garamond" w:cs="Garamond" w:eastAsia="Garamond" w:hAnsi="Garamond"/>
          <w:b w:val="false"/>
          <w:bCs w:val="false"/>
          <w:i w:val="false"/>
          <w:iCs w:val="false"/>
          <w:color w:val="2B2B2B"/>
          <w:sz w:val="22"/>
          <w:szCs w:val="22"/>
        </w:rPr>
        <w:t xml:space="preserve">« S. D. Luzzatto »</w:t>
      </w:r>
    </w:p>
    <w:p>
      <w:pPr>
        <w:pStyle w:val="ListParagraph"/>
        <w:numPr>
          <w:ilvl w:val="0"/>
          <w:numId w:val="2"/>
        </w:numPr>
        <w:spacing w:after="60" w:before="60" w:line="300"/>
      </w:pPr>
      <w:r>
        <w:rPr>
          <w:rFonts w:ascii="Garamond" w:cs="Garamond" w:eastAsia="Garamond" w:hAnsi="Garamond"/>
          <w:b w:val="false"/>
          <w:bCs w:val="false"/>
          <w:i w:val="false"/>
          <w:iCs w:val="false"/>
          <w:color w:val="2B2B2B"/>
          <w:sz w:val="22"/>
          <w:szCs w:val="22"/>
        </w:rPr>
        <w:t xml:space="preserve">« from Luzzatto »</w:t>
      </w:r>
    </w:p>
    <w:p>
      <w:pPr>
        <w:pStyle w:val="ListParagraph"/>
        <w:numPr>
          <w:ilvl w:val="0"/>
          <w:numId w:val="2"/>
        </w:numPr>
        <w:spacing w:after="60" w:before="60" w:line="300"/>
      </w:pPr>
      <w:r>
        <w:rPr>
          <w:rFonts w:ascii="Garamond" w:cs="Garamond" w:eastAsia="Garamond" w:hAnsi="Garamond"/>
          <w:b w:val="false"/>
          <w:bCs w:val="false"/>
          <w:i w:val="false"/>
          <w:iCs w:val="false"/>
          <w:color w:val="2B2B2B"/>
          <w:sz w:val="22"/>
          <w:szCs w:val="22"/>
        </w:rPr>
        <w:t xml:space="preserve">« Italian Jews »</w:t>
      </w:r>
    </w:p>
    <w:p>
      <w:pPr>
        <w:pStyle w:val="ListParagraph"/>
        <w:numPr>
          <w:ilvl w:val="0"/>
          <w:numId w:val="2"/>
        </w:numPr>
        <w:spacing w:after="60" w:before="60" w:line="300"/>
      </w:pPr>
      <w:r>
        <w:rPr>
          <w:rFonts w:ascii="Garamond" w:cs="Garamond" w:eastAsia="Garamond" w:hAnsi="Garamond"/>
          <w:b w:val="false"/>
          <w:bCs w:val="false"/>
          <w:i w:val="false"/>
          <w:iCs w:val="false"/>
          <w:color w:val="2B2B2B"/>
          <w:sz w:val="22"/>
          <w:szCs w:val="22"/>
        </w:rPr>
        <w:t xml:space="preserve">« Padua »</w:t>
      </w:r>
    </w:p>
    <w:p>
      <w:pPr>
        <w:spacing w:after="120" w:before="80" w:line="320"/>
      </w:pPr>
      <w:r>
        <w:rPr>
          <w:rFonts w:ascii="Garamond" w:cs="Garamond" w:eastAsia="Garamond" w:hAnsi="Garamond"/>
          <w:b w:val="false"/>
          <w:bCs w:val="false"/>
          <w:i w:val="false"/>
          <w:iCs w:val="false"/>
          <w:color w:val="2B2B2B"/>
          <w:sz w:val="22"/>
          <w:szCs w:val="22"/>
        </w:rPr>
        <w:t xml:space="preserve">Pour chaque occurrence, relever : (a) le numéro Neubauer, (b) la cote moderne (MS Opp. Add. 4° X, etc.), (c) le titre de l’œuvre, (d) l’auteur, (e) la datation. Saisir le tout dans un tableur.</w:t>
      </w:r>
    </w:p>
    <w:p>
      <w:pPr>
        <w:spacing w:after="120" w:before="80" w:line="320"/>
      </w:pPr>
      <w:r>
        <w:rPr>
          <w:rFonts w:ascii="Garamond" w:cs="Garamond" w:eastAsia="Garamond" w:hAnsi="Garamond"/>
          <w:b w:val="false"/>
          <w:bCs w:val="false"/>
          <w:i w:val="false"/>
          <w:iCs w:val="false"/>
          <w:color w:val="2B2B2B"/>
          <w:sz w:val="22"/>
          <w:szCs w:val="22"/>
        </w:rPr>
        <w:t xml:space="preserve">Estimation du temps de travail : entre 15 et 25 heures pour un lecteur attentif disposant de notions d’hébreu rabbinique.</w:t>
      </w:r>
    </w:p>
    <w:p>
      <w:pPr>
        <w:pStyle w:val="Heading2"/>
        <w:spacing w:after="140" w:before="280"/>
      </w:pPr>
      <w:r>
        <w:rPr>
          <w:rFonts w:ascii="Garamond" w:cs="Garamond" w:eastAsia="Garamond" w:hAnsi="Garamond"/>
          <w:b/>
          <w:bCs/>
          <w:color w:val="1B2A4A"/>
          <w:sz w:val="28"/>
          <w:szCs w:val="28"/>
        </w:rPr>
        <w:t xml:space="preserve">Étape 2 — Croisement avec le supplément Beit-Arié &amp; May (1994)</w:t>
      </w:r>
    </w:p>
    <w:p>
      <w:pPr>
        <w:spacing w:after="120" w:before="80" w:line="320"/>
      </w:pPr>
      <w:r>
        <w:rPr>
          <w:rFonts w:ascii="Garamond" w:cs="Garamond" w:eastAsia="Garamond" w:hAnsi="Garamond"/>
          <w:b w:val="false"/>
          <w:bCs w:val="false"/>
          <w:i w:val="false"/>
          <w:iCs w:val="false"/>
          <w:color w:val="2B2B2B"/>
          <w:sz w:val="22"/>
          <w:szCs w:val="22"/>
        </w:rPr>
        <w:t xml:space="preserve">Le supplément de 1994 contient les corrections, ajouts et identifications postérieures à Neubauer. Il est essentiel pour les datations modernes et les attributions d’auteur. Il n’est pas en accès libre intégral, mais des extraits substantiels sont disponibles via Project MUSE et Google Books. À demander aussi en consultation à la bibliothèque de l’Alliance Israélite Universelle (Paris) ou à l’Institut européen en sciences des religions.</w:t>
      </w:r>
    </w:p>
    <w:p>
      <w:pPr>
        <w:pStyle w:val="Heading2"/>
        <w:spacing w:after="140" w:before="280"/>
      </w:pPr>
      <w:r>
        <w:rPr>
          <w:rFonts w:ascii="Garamond" w:cs="Garamond" w:eastAsia="Garamond" w:hAnsi="Garamond"/>
          <w:b/>
          <w:bCs/>
          <w:color w:val="1B2A4A"/>
          <w:sz w:val="28"/>
          <w:szCs w:val="28"/>
        </w:rPr>
        <w:t xml:space="preserve">Étape 3 — Vérification dans le catalogue en ligne dédié</w:t>
      </w:r>
    </w:p>
    <w:p>
      <w:pPr>
        <w:spacing w:after="120" w:before="80" w:line="320"/>
      </w:pPr>
      <w:r>
        <w:rPr>
          <w:rFonts w:ascii="Garamond" w:cs="Garamond" w:eastAsia="Garamond" w:hAnsi="Garamond"/>
          <w:b w:val="false"/>
          <w:bCs w:val="false"/>
          <w:i w:val="false"/>
          <w:iCs w:val="false"/>
          <w:color w:val="2B2B2B"/>
          <w:sz w:val="22"/>
          <w:szCs w:val="22"/>
        </w:rPr>
        <w:t xml:space="preserve">Le catalogue </w:t>
      </w:r>
      <w:r>
        <w:rPr>
          <w:rFonts w:ascii="Garamond" w:cs="Garamond" w:eastAsia="Garamond" w:hAnsi="Garamond"/>
          <w:b w:val="false"/>
          <w:bCs w:val="false"/>
          <w:i/>
          <w:iCs/>
          <w:color w:val="1B2A4A"/>
          <w:sz w:val="22"/>
          <w:szCs w:val="22"/>
        </w:rPr>
        <w:t xml:space="preserve">hebrew.bodleian.ox.ac.uk</w:t>
      </w:r>
      <w:r>
        <w:rPr>
          <w:rFonts w:ascii="Garamond" w:cs="Garamond" w:eastAsia="Garamond" w:hAnsi="Garamond"/>
          <w:b w:val="false"/>
          <w:bCs w:val="false"/>
          <w:i w:val="false"/>
          <w:iCs w:val="false"/>
          <w:color w:val="2B2B2B"/>
          <w:sz w:val="22"/>
          <w:szCs w:val="22"/>
        </w:rPr>
        <w:t xml:space="preserve"> donne pour chaque manuscrit une fiche détaillée avec sa provenance d’acquisition. C’est l’étape de validation finale : pour chaque cote suspectée d’appartenir au dépôt Luzzatto (issue de l’étape 1), on consulte la fiche et on cherche dans le champ « Provenance » la mention explicite « Bought from Isaiah Luzzatto, 1869-70 » ou équivalent.</w:t>
      </w:r>
    </w:p>
    <w:p>
      <w:pPr>
        <w:pStyle w:val="Heading2"/>
        <w:spacing w:after="140" w:before="280"/>
      </w:pPr>
      <w:r>
        <w:rPr>
          <w:rFonts w:ascii="Garamond" w:cs="Garamond" w:eastAsia="Garamond" w:hAnsi="Garamond"/>
          <w:b/>
          <w:bCs/>
          <w:color w:val="1B2A4A"/>
          <w:sz w:val="28"/>
          <w:szCs w:val="28"/>
        </w:rPr>
        <w:t xml:space="preserve">Étape 4 — Demande officielle aux Bodleian Special Collections</w:t>
      </w:r>
    </w:p>
    <w:p>
      <w:pPr>
        <w:spacing w:after="120" w:before="80" w:line="320"/>
      </w:pPr>
      <w:r>
        <w:rPr>
          <w:rFonts w:ascii="Garamond" w:cs="Garamond" w:eastAsia="Garamond" w:hAnsi="Garamond"/>
          <w:b w:val="false"/>
          <w:bCs w:val="false"/>
          <w:i w:val="false"/>
          <w:iCs w:val="false"/>
          <w:color w:val="2B2B2B"/>
          <w:sz w:val="22"/>
          <w:szCs w:val="22"/>
        </w:rPr>
        <w:t xml:space="preserve">La Bodleian conserve, distincts du catalogue public, ses Library Records — registres internes d’acquisition, où chaque entrée de 1869-1870 est consignée à la date exacte avec mention du vendeur et du prix. Cette source primaire trancherait définitivement la question.</w:t>
      </w:r>
    </w:p>
    <w:p>
      <w:pPr>
        <w:spacing w:after="120" w:before="80" w:line="320"/>
      </w:pPr>
      <w:r>
        <w:rPr>
          <w:rFonts w:ascii="Garamond" w:cs="Garamond" w:eastAsia="Garamond" w:hAnsi="Garamond"/>
          <w:b w:val="false"/>
          <w:bCs w:val="false"/>
          <w:i w:val="false"/>
          <w:iCs w:val="false"/>
          <w:color w:val="2B2B2B"/>
          <w:sz w:val="22"/>
          <w:szCs w:val="22"/>
        </w:rPr>
        <w:t xml:space="preserve">Personne à contacter : </w:t>
      </w:r>
      <w:r>
        <w:rPr>
          <w:rFonts w:ascii="Garamond" w:cs="Garamond" w:eastAsia="Garamond" w:hAnsi="Garamond"/>
          <w:b/>
          <w:bCs/>
          <w:i w:val="false"/>
          <w:iCs w:val="false"/>
          <w:color w:val="2B2B2B"/>
          <w:sz w:val="22"/>
          <w:szCs w:val="22"/>
        </w:rPr>
        <w:t xml:space="preserve">César Merchan-Hamann</w:t>
      </w:r>
      <w:r>
        <w:rPr>
          <w:rFonts w:ascii="Garamond" w:cs="Garamond" w:eastAsia="Garamond" w:hAnsi="Garamond"/>
          <w:b w:val="false"/>
          <w:bCs w:val="false"/>
          <w:i w:val="false"/>
          <w:iCs w:val="false"/>
          <w:color w:val="2B2B2B"/>
          <w:sz w:val="22"/>
          <w:szCs w:val="22"/>
        </w:rPr>
        <w:t xml:space="preserve">, Hebraica &amp; Judaica Curator, Bodleian Libraries, Oxford. (Email institutionnel : </w:t>
      </w:r>
      <w:r>
        <w:rPr>
          <w:rFonts w:ascii="Garamond" w:cs="Garamond" w:eastAsia="Garamond" w:hAnsi="Garamond"/>
          <w:b w:val="false"/>
          <w:bCs w:val="false"/>
          <w:i/>
          <w:iCs/>
          <w:color w:val="1B2A4A"/>
          <w:sz w:val="22"/>
          <w:szCs w:val="22"/>
        </w:rPr>
        <w:t xml:space="preserve">specialcollections.enquiries@bodleian.ox.ac.uk</w:t>
      </w:r>
      <w:r>
        <w:rPr>
          <w:rFonts w:ascii="Garamond" w:cs="Garamond" w:eastAsia="Garamond" w:hAnsi="Garamond"/>
          <w:b w:val="false"/>
          <w:bCs w:val="false"/>
          <w:i w:val="false"/>
          <w:iCs w:val="false"/>
          <w:color w:val="2B2B2B"/>
          <w:sz w:val="22"/>
          <w:szCs w:val="22"/>
        </w:rPr>
        <w:t xml:space="preserve">.) Il a été identifié dans le projet académique Glasser/William &amp; Mary comme « crucial source of information regarding the circumstances of the acquisition ».</w:t>
      </w:r>
    </w:p>
    <w:p>
      <w:pPr>
        <w:pStyle w:val="Heading2"/>
        <w:spacing w:after="140" w:before="280"/>
      </w:pPr>
      <w:r>
        <w:rPr>
          <w:rFonts w:ascii="Garamond" w:cs="Garamond" w:eastAsia="Garamond" w:hAnsi="Garamond"/>
          <w:b/>
          <w:bCs/>
          <w:color w:val="1B2A4A"/>
          <w:sz w:val="28"/>
          <w:szCs w:val="28"/>
        </w:rPr>
        <w:t xml:space="preserve">Étape 5 — Visite sur place</w:t>
      </w:r>
    </w:p>
    <w:p>
      <w:pPr>
        <w:spacing w:after="120" w:before="80" w:line="320"/>
      </w:pPr>
      <w:r>
        <w:rPr>
          <w:rFonts w:ascii="Garamond" w:cs="Garamond" w:eastAsia="Garamond" w:hAnsi="Garamond"/>
          <w:b w:val="false"/>
          <w:bCs w:val="false"/>
          <w:i w:val="false"/>
          <w:iCs w:val="false"/>
          <w:color w:val="2B2B2B"/>
          <w:sz w:val="22"/>
          <w:szCs w:val="22"/>
        </w:rPr>
        <w:t xml:space="preserve">Idéalement, une délégation du groupe Oxford devrait pouvoir consulter les Library Records de 1869 dans la Special Collections Reading Room de la Weston Library. Cela suppose une carte de lecteur (Bodleian reader’s card), facilement obtenue avec une lettre d’introduction. La consultation des registres internes du XIXᵉ siècle est ouverte à tout chercheur accrédité, sans restriction particulière.</w:t>
      </w:r>
    </w:p>
    <w:p>
      <w:r>
        <w:br w:type="page"/>
      </w:r>
    </w:p>
    <w:p>
      <w:pPr>
        <w:pStyle w:val="Heading1"/>
        <w:pBdr>
          <w:bottom w:val="single" w:color="B8860B" w:sz="12" w:space="6"/>
        </w:pBdr>
        <w:spacing w:after="200" w:before="360"/>
      </w:pPr>
      <w:r>
        <w:rPr>
          <w:rFonts w:ascii="Garamond" w:cs="Garamond" w:eastAsia="Garamond" w:hAnsi="Garamond"/>
          <w:b/>
          <w:bCs/>
          <w:color w:val="1B2A4A"/>
          <w:sz w:val="36"/>
          <w:szCs w:val="36"/>
        </w:rPr>
        <w:t xml:space="preserve">6.  Sources et liens utiles</w:t>
      </w:r>
    </w:p>
    <w:p>
      <w:pPr>
        <w:pStyle w:val="Heading2"/>
        <w:spacing w:after="140" w:before="280"/>
      </w:pPr>
      <w:r>
        <w:rPr>
          <w:rFonts w:ascii="Garamond" w:cs="Garamond" w:eastAsia="Garamond" w:hAnsi="Garamond"/>
          <w:b/>
          <w:bCs/>
          <w:color w:val="1B2A4A"/>
          <w:sz w:val="28"/>
          <w:szCs w:val="28"/>
        </w:rPr>
        <w:t xml:space="preserve">Sources primaires (catalogues)</w:t>
      </w:r>
    </w:p>
    <w:p>
      <w:pPr>
        <w:spacing w:after="120" w:before="80" w:line="320"/>
      </w:pPr>
      <w:r>
        <w:rPr>
          <w:rFonts w:ascii="Garamond" w:cs="Garamond" w:eastAsia="Garamond" w:hAnsi="Garamond"/>
          <w:b w:val="false"/>
          <w:bCs w:val="false"/>
          <w:i w:val="false"/>
          <w:iCs w:val="false"/>
          <w:color w:val="2B2B2B"/>
          <w:sz w:val="22"/>
          <w:szCs w:val="22"/>
        </w:rPr>
        <w:t xml:space="preserve">Adolf Neubauer, </w:t>
      </w:r>
      <w:r>
        <w:rPr>
          <w:rFonts w:ascii="Garamond" w:cs="Garamond" w:eastAsia="Garamond" w:hAnsi="Garamond"/>
          <w:b w:val="false"/>
          <w:bCs w:val="false"/>
          <w:i/>
          <w:iCs/>
          <w:color w:val="2B2B2B"/>
          <w:sz w:val="22"/>
          <w:szCs w:val="22"/>
        </w:rPr>
        <w:t xml:space="preserve">Catalogue of the Hebrew Manuscripts in the Bodleian Library</w:t>
      </w:r>
      <w:r>
        <w:rPr>
          <w:rFonts w:ascii="Garamond" w:cs="Garamond" w:eastAsia="Garamond" w:hAnsi="Garamond"/>
          <w:b w:val="false"/>
          <w:bCs w:val="false"/>
          <w:i w:val="false"/>
          <w:iCs w:val="false"/>
          <w:color w:val="2B2B2B"/>
          <w:sz w:val="22"/>
          <w:szCs w:val="22"/>
        </w:rPr>
        <w:t xml:space="preserve">, vol. 1, Oxford : Clarendon Press, 1886. — Internet Archive : </w:t>
      </w:r>
      <w:r>
        <w:rPr>
          <w:rFonts w:ascii="Garamond" w:cs="Garamond" w:eastAsia="Garamond" w:hAnsi="Garamond"/>
          <w:b w:val="false"/>
          <w:bCs w:val="false"/>
          <w:i/>
          <w:iCs/>
          <w:color w:val="1B2A4A"/>
          <w:sz w:val="22"/>
          <w:szCs w:val="22"/>
        </w:rPr>
        <w:t xml:space="preserve">archive.org/details/catalogueofthehebrewmanuscripts</w:t>
      </w:r>
    </w:p>
    <w:p>
      <w:pPr>
        <w:spacing w:after="120" w:before="80" w:line="320"/>
      </w:pPr>
      <w:r>
        <w:rPr>
          <w:rFonts w:ascii="Garamond" w:cs="Garamond" w:eastAsia="Garamond" w:hAnsi="Garamond"/>
          <w:b w:val="false"/>
          <w:bCs w:val="false"/>
          <w:i w:val="false"/>
          <w:iCs w:val="false"/>
          <w:color w:val="2B2B2B"/>
          <w:sz w:val="22"/>
          <w:szCs w:val="22"/>
        </w:rPr>
        <w:t xml:space="preserve">Adolf Neubauer &amp; A. E. Cowley, </w:t>
      </w:r>
      <w:r>
        <w:rPr>
          <w:rFonts w:ascii="Garamond" w:cs="Garamond" w:eastAsia="Garamond" w:hAnsi="Garamond"/>
          <w:b w:val="false"/>
          <w:bCs w:val="false"/>
          <w:i/>
          <w:iCs/>
          <w:color w:val="2B2B2B"/>
          <w:sz w:val="22"/>
          <w:szCs w:val="22"/>
        </w:rPr>
        <w:t xml:space="preserve">Catalogue of the Hebrew Manuscripts in the Bodleian Library</w:t>
      </w:r>
      <w:r>
        <w:rPr>
          <w:rFonts w:ascii="Garamond" w:cs="Garamond" w:eastAsia="Garamond" w:hAnsi="Garamond"/>
          <w:b w:val="false"/>
          <w:bCs w:val="false"/>
          <w:i w:val="false"/>
          <w:iCs w:val="false"/>
          <w:color w:val="2B2B2B"/>
          <w:sz w:val="22"/>
          <w:szCs w:val="22"/>
        </w:rPr>
        <w:t xml:space="preserve">, vol. 2, Oxford : Clarendon Press, 1906. — Internet Archive : </w:t>
      </w:r>
      <w:r>
        <w:rPr>
          <w:rFonts w:ascii="Garamond" w:cs="Garamond" w:eastAsia="Garamond" w:hAnsi="Garamond"/>
          <w:b w:val="false"/>
          <w:bCs w:val="false"/>
          <w:i/>
          <w:iCs/>
          <w:color w:val="1B2A4A"/>
          <w:sz w:val="22"/>
          <w:szCs w:val="22"/>
        </w:rPr>
        <w:t xml:space="preserve">archive.org/details/CatalogueOfTheHebrewManuscriptsInT</w:t>
      </w:r>
    </w:p>
    <w:p>
      <w:pPr>
        <w:spacing w:after="120" w:before="80" w:line="320"/>
      </w:pPr>
      <w:r>
        <w:rPr>
          <w:rFonts w:ascii="Garamond" w:cs="Garamond" w:eastAsia="Garamond" w:hAnsi="Garamond"/>
          <w:b w:val="false"/>
          <w:bCs w:val="false"/>
          <w:i w:val="false"/>
          <w:iCs w:val="false"/>
          <w:color w:val="2B2B2B"/>
          <w:sz w:val="22"/>
          <w:szCs w:val="22"/>
        </w:rPr>
        <w:t xml:space="preserve">Malachi Beit-Arié &amp; R. A. May (eds.), </w:t>
      </w:r>
      <w:r>
        <w:rPr>
          <w:rFonts w:ascii="Garamond" w:cs="Garamond" w:eastAsia="Garamond" w:hAnsi="Garamond"/>
          <w:b w:val="false"/>
          <w:bCs w:val="false"/>
          <w:i/>
          <w:iCs/>
          <w:color w:val="2B2B2B"/>
          <w:sz w:val="22"/>
          <w:szCs w:val="22"/>
        </w:rPr>
        <w:t xml:space="preserve">Catalogue of the Hebrew Manuscripts in the Bodleian Library : Supplement of Addenda and Corrigenda to vol. I</w:t>
      </w:r>
      <w:r>
        <w:rPr>
          <w:rFonts w:ascii="Garamond" w:cs="Garamond" w:eastAsia="Garamond" w:hAnsi="Garamond"/>
          <w:b w:val="false"/>
          <w:bCs w:val="false"/>
          <w:i w:val="false"/>
          <w:iCs w:val="false"/>
          <w:color w:val="2B2B2B"/>
          <w:sz w:val="22"/>
          <w:szCs w:val="22"/>
        </w:rPr>
        <w:t xml:space="preserve">, Oxford : Clarendon Press, 1994. (Consultation sur place ou en BU.)</w:t>
      </w:r>
    </w:p>
    <w:p>
      <w:pPr>
        <w:pStyle w:val="Heading2"/>
        <w:spacing w:after="140" w:before="280"/>
      </w:pPr>
      <w:r>
        <w:rPr>
          <w:rFonts w:ascii="Garamond" w:cs="Garamond" w:eastAsia="Garamond" w:hAnsi="Garamond"/>
          <w:b/>
          <w:bCs/>
          <w:color w:val="1B2A4A"/>
          <w:sz w:val="28"/>
          <w:szCs w:val="28"/>
        </w:rPr>
        <w:t xml:space="preserve">Bases en ligne</w:t>
      </w:r>
    </w:p>
    <w:p>
      <w:pPr>
        <w:spacing w:after="120" w:before="80" w:line="320"/>
      </w:pPr>
      <w:r>
        <w:rPr>
          <w:rFonts w:ascii="Garamond" w:cs="Garamond" w:eastAsia="Garamond" w:hAnsi="Garamond"/>
          <w:b w:val="false"/>
          <w:bCs w:val="false"/>
          <w:i w:val="false"/>
          <w:iCs w:val="false"/>
          <w:color w:val="2B2B2B"/>
          <w:sz w:val="22"/>
          <w:szCs w:val="22"/>
        </w:rPr>
        <w:t xml:space="preserve">Catalogue dédié des manuscrits hébreux : </w:t>
      </w:r>
      <w:r>
        <w:rPr>
          <w:rFonts w:ascii="Garamond" w:cs="Garamond" w:eastAsia="Garamond" w:hAnsi="Garamond"/>
          <w:b w:val="false"/>
          <w:bCs w:val="false"/>
          <w:i/>
          <w:iCs/>
          <w:color w:val="1B2A4A"/>
          <w:sz w:val="22"/>
          <w:szCs w:val="22"/>
        </w:rPr>
        <w:t xml:space="preserve">hebrew.bodleian.ox.ac.uk</w:t>
      </w:r>
      <w:r>
        <w:rPr>
          <w:rFonts w:ascii="Garamond" w:cs="Garamond" w:eastAsia="Garamond" w:hAnsi="Garamond"/>
          <w:b w:val="false"/>
          <w:bCs w:val="false"/>
          <w:i w:val="false"/>
          <w:iCs w:val="false"/>
          <w:color w:val="2B2B2B"/>
          <w:sz w:val="22"/>
          <w:szCs w:val="22"/>
        </w:rPr>
        <w:t xml:space="preserve"> — fiches descriptives détaillées</w:t>
      </w:r>
    </w:p>
    <w:p>
      <w:pPr>
        <w:spacing w:after="120" w:before="80" w:line="320"/>
      </w:pPr>
      <w:r>
        <w:rPr>
          <w:rFonts w:ascii="Garamond" w:cs="Garamond" w:eastAsia="Garamond" w:hAnsi="Garamond"/>
          <w:b w:val="false"/>
          <w:bCs w:val="false"/>
          <w:i w:val="false"/>
          <w:iCs w:val="false"/>
          <w:color w:val="2B2B2B"/>
          <w:sz w:val="22"/>
          <w:szCs w:val="22"/>
        </w:rPr>
        <w:t xml:space="preserve">Digital Bodleian (numérisations HD) : </w:t>
      </w:r>
      <w:r>
        <w:rPr>
          <w:rFonts w:ascii="Garamond" w:cs="Garamond" w:eastAsia="Garamond" w:hAnsi="Garamond"/>
          <w:b w:val="false"/>
          <w:bCs w:val="false"/>
          <w:i/>
          <w:iCs/>
          <w:color w:val="1B2A4A"/>
          <w:sz w:val="22"/>
          <w:szCs w:val="22"/>
        </w:rPr>
        <w:t xml:space="preserve">digital.bodleian.ox.ac.uk/collections/hebrew/</w:t>
      </w:r>
      <w:r>
        <w:rPr>
          <w:rFonts w:ascii="Garamond" w:cs="Garamond" w:eastAsia="Garamond" w:hAnsi="Garamond"/>
          <w:b w:val="false"/>
          <w:bCs w:val="false"/>
          <w:i w:val="false"/>
          <w:iCs w:val="false"/>
          <w:color w:val="2B2B2B"/>
          <w:sz w:val="22"/>
          <w:szCs w:val="22"/>
        </w:rPr>
        <w:t xml:space="preserve"> — environ 800 manuscrits hébreux entièrement numérisés grâce au programme Polonsky</w:t>
      </w:r>
    </w:p>
    <w:p>
      <w:pPr>
        <w:spacing w:after="120" w:before="80" w:line="320"/>
      </w:pPr>
      <w:r>
        <w:rPr>
          <w:rFonts w:ascii="Garamond" w:cs="Garamond" w:eastAsia="Garamond" w:hAnsi="Garamond"/>
          <w:b w:val="false"/>
          <w:bCs w:val="false"/>
          <w:i w:val="false"/>
          <w:iCs w:val="false"/>
          <w:color w:val="2B2B2B"/>
          <w:sz w:val="22"/>
          <w:szCs w:val="22"/>
        </w:rPr>
        <w:t xml:space="preserve">Description archivistique de la collection : </w:t>
      </w:r>
      <w:r>
        <w:rPr>
          <w:rFonts w:ascii="Garamond" w:cs="Garamond" w:eastAsia="Garamond" w:hAnsi="Garamond"/>
          <w:b w:val="false"/>
          <w:bCs w:val="false"/>
          <w:i/>
          <w:iCs/>
          <w:color w:val="2B2B2B"/>
          <w:sz w:val="22"/>
          <w:szCs w:val="22"/>
        </w:rPr>
        <w:t xml:space="preserve">Archives Hub (JISC), notice GB 161 « Miscellaneous Hebrew manuscripts in the Bodleian Library »</w:t>
      </w:r>
    </w:p>
    <w:p>
      <w:pPr>
        <w:pStyle w:val="Heading2"/>
        <w:spacing w:after="140" w:before="280"/>
      </w:pPr>
      <w:r>
        <w:rPr>
          <w:rFonts w:ascii="Garamond" w:cs="Garamond" w:eastAsia="Garamond" w:hAnsi="Garamond"/>
          <w:b/>
          <w:bCs/>
          <w:color w:val="1B2A4A"/>
          <w:sz w:val="28"/>
          <w:szCs w:val="28"/>
        </w:rPr>
        <w:t xml:space="preserve">Travaux savants utilisés</w:t>
      </w:r>
    </w:p>
    <w:p>
      <w:pPr>
        <w:spacing w:after="120" w:before="80" w:line="320"/>
      </w:pPr>
      <w:r>
        <w:rPr>
          <w:rFonts w:ascii="Garamond" w:cs="Garamond" w:eastAsia="Garamond" w:hAnsi="Garamond"/>
          <w:b w:val="false"/>
          <w:bCs w:val="false"/>
          <w:i w:val="false"/>
          <w:iCs w:val="false"/>
          <w:color w:val="2B2B2B"/>
          <w:sz w:val="22"/>
          <w:szCs w:val="22"/>
        </w:rPr>
        <w:t xml:space="preserve">Jonathan Glasser et al., </w:t>
      </w:r>
      <w:r>
        <w:rPr>
          <w:rFonts w:ascii="Garamond" w:cs="Garamond" w:eastAsia="Garamond" w:hAnsi="Garamond"/>
          <w:b w:val="false"/>
          <w:bCs w:val="false"/>
          <w:i/>
          <w:iCs/>
          <w:color w:val="2B2B2B"/>
          <w:sz w:val="22"/>
          <w:szCs w:val="22"/>
        </w:rPr>
        <w:t xml:space="preserve">Judeo-Arabic Love Poems from the Western Mediterranean</w:t>
      </w:r>
      <w:r>
        <w:rPr>
          <w:rFonts w:ascii="Garamond" w:cs="Garamond" w:eastAsia="Garamond" w:hAnsi="Garamond"/>
          <w:b w:val="false"/>
          <w:bCs w:val="false"/>
          <w:i w:val="false"/>
          <w:iCs w:val="false"/>
          <w:color w:val="2B2B2B"/>
          <w:sz w:val="22"/>
          <w:szCs w:val="22"/>
        </w:rPr>
        <w:t xml:space="preserve"> (William &amp; Mary Libraries, 2024). — Identifie les cotes MS. Opp. Add. 4° 84-88 du Mahzor d’Oran comme provenant du dépôt Luzzatto. Lien : libraries.wm.edu/judeoarabiclovepoems</w:t>
      </w:r>
    </w:p>
    <w:p>
      <w:pPr>
        <w:spacing w:after="120" w:before="80" w:line="320"/>
      </w:pPr>
      <w:r>
        <w:rPr>
          <w:rFonts w:ascii="Garamond" w:cs="Garamond" w:eastAsia="Garamond" w:hAnsi="Garamond"/>
          <w:b w:val="false"/>
          <w:bCs w:val="false"/>
          <w:i w:val="false"/>
          <w:iCs w:val="false"/>
          <w:color w:val="2B2B2B"/>
          <w:sz w:val="22"/>
          <w:szCs w:val="22"/>
        </w:rPr>
        <w:t xml:space="preserve">Didier Nebot, </w:t>
      </w:r>
      <w:r>
        <w:rPr>
          <w:rFonts w:ascii="Garamond" w:cs="Garamond" w:eastAsia="Garamond" w:hAnsi="Garamond"/>
          <w:b w:val="false"/>
          <w:bCs w:val="false"/>
          <w:i/>
          <w:iCs/>
          <w:color w:val="2B2B2B"/>
          <w:sz w:val="22"/>
          <w:szCs w:val="22"/>
        </w:rPr>
        <w:t xml:space="preserve">Le Manuscrit sacré : du rabbin, médecin, talmudiste du XVᵉ siècle, Ephraïm Aln’kaoua de Tlemcen</w:t>
      </w:r>
      <w:r>
        <w:rPr>
          <w:rFonts w:ascii="Garamond" w:cs="Garamond" w:eastAsia="Garamond" w:hAnsi="Garamond"/>
          <w:b w:val="false"/>
          <w:bCs w:val="false"/>
          <w:i w:val="false"/>
          <w:iCs w:val="false"/>
          <w:color w:val="2B2B2B"/>
          <w:sz w:val="22"/>
          <w:szCs w:val="22"/>
        </w:rPr>
        <w:t xml:space="preserve">, Erick Bonnier, 2026, p. 247-264. — Pour les manuscrits Aln’kaoua.</w:t>
      </w:r>
    </w:p>
    <w:p>
      <w:pPr>
        <w:spacing w:after="120" w:before="80" w:line="320"/>
      </w:pPr>
      <w:r>
        <w:rPr>
          <w:rFonts w:ascii="Garamond" w:cs="Garamond" w:eastAsia="Garamond" w:hAnsi="Garamond"/>
          <w:b w:val="false"/>
          <w:bCs w:val="false"/>
          <w:i w:val="false"/>
          <w:iCs w:val="false"/>
          <w:color w:val="2B2B2B"/>
          <w:sz w:val="22"/>
          <w:szCs w:val="22"/>
        </w:rPr>
        <w:t xml:space="preserve">Didier Nebot, </w:t>
      </w:r>
      <w:r>
        <w:rPr>
          <w:rFonts w:ascii="Garamond" w:cs="Garamond" w:eastAsia="Garamond" w:hAnsi="Garamond"/>
          <w:b w:val="false"/>
          <w:bCs w:val="false"/>
          <w:i/>
          <w:iCs/>
          <w:color w:val="2B2B2B"/>
          <w:sz w:val="22"/>
          <w:szCs w:val="22"/>
        </w:rPr>
        <w:t xml:space="preserve">Les manuscrits veulent rentrer à la maison</w:t>
      </w:r>
      <w:r>
        <w:rPr>
          <w:rFonts w:ascii="Garamond" w:cs="Garamond" w:eastAsia="Garamond" w:hAnsi="Garamond"/>
          <w:b w:val="false"/>
          <w:bCs w:val="false"/>
          <w:i w:val="false"/>
          <w:iCs w:val="false"/>
          <w:color w:val="2B2B2B"/>
          <w:sz w:val="22"/>
          <w:szCs w:val="22"/>
        </w:rPr>
        <w:t xml:space="preserve"> (texte de présentation du collectif GMPL, 2026).</w:t>
      </w:r>
    </w:p>
    <w:p>
      <w:pPr>
        <w:spacing w:after="100" w:before="600"/>
        <w:jc w:val="center"/>
      </w:pPr>
      <w:r>
        <w:rPr>
          <w:color w:val="B8860B"/>
          <w:sz w:val="24"/>
          <w:szCs w:val="24"/>
        </w:rPr>
        <w:t xml:space="preserve">✦ ✦ ✦</w:t>
      </w:r>
    </w:p>
    <w:p>
      <w:pPr>
        <w:spacing w:after="80" w:before="100"/>
        <w:jc w:val="center"/>
      </w:pPr>
      <w:r>
        <w:rPr>
          <w:rFonts w:ascii="Garamond" w:cs="Garamond" w:eastAsia="Garamond" w:hAnsi="Garamond"/>
          <w:i/>
          <w:iCs/>
          <w:color w:val="8A8A8A"/>
          <w:sz w:val="20"/>
          <w:szCs w:val="20"/>
        </w:rPr>
        <w:t xml:space="preserve">Document de travail interne — Groupe Oxford du Collectif GMPL</w:t>
      </w:r>
    </w:p>
    <w:p>
      <w:pPr>
        <w:spacing w:after="80" w:before="0"/>
        <w:jc w:val="center"/>
      </w:pPr>
      <w:r>
        <w:rPr>
          <w:rFonts w:ascii="Garamond" w:cs="Garamond" w:eastAsia="Garamond" w:hAnsi="Garamond"/>
          <w:color w:val="8A8A8A"/>
          <w:sz w:val="20"/>
          <w:szCs w:val="20"/>
        </w:rPr>
        <w:t xml:space="preserve">À enrichir au fur et à mesure des avancées du recensement</w:t>
      </w:r>
    </w:p>
    <w:p>
      <w:pPr>
        <w:spacing w:after="0" w:before="80"/>
        <w:jc w:val="center"/>
      </w:pPr>
      <w:r>
        <w:rPr>
          <w:rFonts w:ascii="Garamond" w:cs="Garamond" w:eastAsia="Garamond" w:hAnsi="Garamond"/>
          <w:color w:val="B8860B"/>
          <w:sz w:val="20"/>
          <w:szCs w:val="20"/>
        </w:rPr>
        <w:t xml:space="preserve">contact@gmpl26.org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Garamond" w:cs="Garamond" w:eastAsia="Garamond" w:hAnsi="Garamond"/>
        <w:color w:val="B8860B"/>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Garamond" w:cs="Garamond" w:eastAsia="Garamond" w:hAnsi="Garamond"/>
      <w:b/>
      <w:bCs/>
      <w:color w:val="1B2A4A"/>
      <w:sz w:val="36"/>
      <w:szCs w:val="36"/>
    </w:rPr>
  </w:style>
  <w:style w:type="paragraph" w:styleId="Heading2">
    <w:name w:val="Heading 2"/>
    <w:basedOn w:val="Normal"/>
    <w:next w:val="Normal"/>
    <w:qFormat/>
    <w:pPr>
      <w:spacing w:after="140" w:before="280"/>
      <w:outlineLvl w:val="1"/>
    </w:pPr>
    <w:rPr>
      <w:rFonts w:ascii="Garamond" w:cs="Garamond" w:eastAsia="Garamond" w:hAnsi="Garamond"/>
      <w:b/>
      <w:bCs/>
      <w:color w:val="1B2A4A"/>
      <w:sz w:val="28"/>
      <w:szCs w:val="28"/>
    </w:rPr>
  </w:style>
  <w:style w:type="paragraph" w:styleId="Heading3">
    <w:name w:val="Heading 3"/>
    <w:basedOn w:val="Normal"/>
    <w:next w:val="Normal"/>
    <w:qFormat/>
    <w:pPr>
      <w:spacing w:after="100" w:before="220"/>
      <w:outlineLvl w:val="2"/>
    </w:pPr>
    <w:rPr>
      <w:rFonts w:ascii="Garamond" w:cs="Garamond" w:eastAsia="Garamond" w:hAnsi="Garamond"/>
      <w:b/>
      <w:bCs/>
      <w:i/>
      <w:iCs/>
      <w:color w:val="B8860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Inventaire Luzzatto — Bodleian Library — Document de travail</dc:title>
  <dc:creator>Collectif GMPL</dc:creator>
  <dc:description>Première reconstitution à partir des sources publiques</dc:description>
  <cp:lastModifiedBy>Un-named</cp:lastModifiedBy>
  <cp:revision>1</cp:revision>
  <dcterms:created xsi:type="dcterms:W3CDTF">2026-05-01T22:32:08.987Z</dcterms:created>
  <dcterms:modified xsi:type="dcterms:W3CDTF">2026-05-01T22:32:08.987Z</dcterms:modified>
</cp:coreProperties>
</file>

<file path=docProps/custom.xml><?xml version="1.0" encoding="utf-8"?>
<Properties xmlns="http://schemas.openxmlformats.org/officeDocument/2006/custom-properties" xmlns:vt="http://schemas.openxmlformats.org/officeDocument/2006/docPropsVTypes"/>
</file>